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E7" w:rsidRDefault="00E372E7" w:rsidP="00E372E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长春新区人民法院</w:t>
      </w:r>
    </w:p>
    <w:p w:rsidR="00000000" w:rsidRDefault="00E372E7" w:rsidP="00E372E7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情况说明</w:t>
      </w:r>
    </w:p>
    <w:p w:rsidR="00E372E7" w:rsidRPr="00E372E7" w:rsidRDefault="00E372E7" w:rsidP="00E372E7">
      <w:pPr>
        <w:spacing w:line="6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E372E7">
        <w:rPr>
          <w:rFonts w:ascii="仿宋" w:eastAsia="仿宋" w:hAnsi="仿宋" w:hint="eastAsia"/>
          <w:sz w:val="32"/>
          <w:szCs w:val="32"/>
        </w:rPr>
        <w:t>关于诉讼服务中心建设，我院在诉讼服务大厅设置了涉疫涉企涉农绿色通道，指定专人办理涉企涉疫案件的诉讼服务、诉调对接工作。在诉前分流引导方面，加强在线司法服务，促进矛盾纠纷诉前化解。充分利用诉讼服务网和专用的微信公众号开展诉讼指导和引导工作，针对不同需求，必要时联系相关职能部门对接处理，促进矛盾纠纷化解。</w:t>
      </w:r>
    </w:p>
    <w:sectPr w:rsidR="00E372E7" w:rsidRPr="00E37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C7D" w:rsidRDefault="00C47C7D" w:rsidP="00E372E7">
      <w:r>
        <w:separator/>
      </w:r>
    </w:p>
  </w:endnote>
  <w:endnote w:type="continuationSeparator" w:id="1">
    <w:p w:rsidR="00C47C7D" w:rsidRDefault="00C47C7D" w:rsidP="00E37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C7D" w:rsidRDefault="00C47C7D" w:rsidP="00E372E7">
      <w:r>
        <w:separator/>
      </w:r>
    </w:p>
  </w:footnote>
  <w:footnote w:type="continuationSeparator" w:id="1">
    <w:p w:rsidR="00C47C7D" w:rsidRDefault="00C47C7D" w:rsidP="00E372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2E7"/>
    <w:rsid w:val="006C4A7E"/>
    <w:rsid w:val="00C47C7D"/>
    <w:rsid w:val="00E3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7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72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7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72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2020-09-26T04:00:00Z</dcterms:created>
  <dcterms:modified xsi:type="dcterms:W3CDTF">2020-09-26T04:10:00Z</dcterms:modified>
</cp:coreProperties>
</file>