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79" w:rsidRDefault="00537979" w:rsidP="00537979">
      <w:pPr>
        <w:spacing w:line="570" w:lineRule="exact"/>
        <w:jc w:val="left"/>
        <w:rPr>
          <w:rFonts w:ascii="黑体" w:eastAsia="黑体" w:hAnsi="黑体"/>
          <w:sz w:val="32"/>
          <w:szCs w:val="32"/>
        </w:rPr>
      </w:pPr>
      <w:r w:rsidRPr="00537979">
        <w:rPr>
          <w:rFonts w:ascii="黑体" w:eastAsia="黑体" w:hAnsi="黑体" w:hint="eastAsia"/>
          <w:sz w:val="32"/>
          <w:szCs w:val="32"/>
        </w:rPr>
        <w:t>附件</w:t>
      </w:r>
    </w:p>
    <w:p w:rsidR="009F0A59" w:rsidRPr="00537979" w:rsidRDefault="009F0A59" w:rsidP="00537979">
      <w:pPr>
        <w:spacing w:line="570" w:lineRule="exact"/>
        <w:jc w:val="left"/>
        <w:rPr>
          <w:rFonts w:ascii="黑体" w:eastAsia="黑体" w:hAnsi="黑体"/>
          <w:sz w:val="32"/>
          <w:szCs w:val="32"/>
        </w:rPr>
      </w:pPr>
    </w:p>
    <w:p w:rsidR="00537979" w:rsidRPr="00537979" w:rsidRDefault="00537979" w:rsidP="00537979">
      <w:pPr>
        <w:spacing w:line="570" w:lineRule="exact"/>
        <w:jc w:val="center"/>
        <w:rPr>
          <w:rFonts w:ascii="方正小标宋简体" w:eastAsia="方正小标宋简体" w:hAnsi="宋体"/>
          <w:sz w:val="44"/>
          <w:szCs w:val="44"/>
        </w:rPr>
      </w:pPr>
      <w:r w:rsidRPr="00537979">
        <w:rPr>
          <w:rFonts w:ascii="方正小标宋简体" w:eastAsia="方正小标宋简体" w:hAnsi="宋体" w:hint="eastAsia"/>
          <w:sz w:val="44"/>
          <w:szCs w:val="44"/>
        </w:rPr>
        <w:t>吉林省高级人民法院</w:t>
      </w:r>
    </w:p>
    <w:p w:rsidR="00537979" w:rsidRPr="00537979" w:rsidRDefault="00537979" w:rsidP="00537979">
      <w:pPr>
        <w:spacing w:line="570" w:lineRule="exact"/>
        <w:jc w:val="center"/>
        <w:rPr>
          <w:rFonts w:ascii="方正小标宋简体" w:eastAsia="方正小标宋简体" w:hAnsi="宋体"/>
          <w:sz w:val="44"/>
          <w:szCs w:val="44"/>
        </w:rPr>
      </w:pPr>
      <w:r w:rsidRPr="00537979">
        <w:rPr>
          <w:rFonts w:ascii="方正小标宋简体" w:eastAsia="方正小标宋简体" w:hAnsi="宋体" w:hint="eastAsia"/>
          <w:sz w:val="44"/>
          <w:szCs w:val="44"/>
        </w:rPr>
        <w:t>暖企惠企安企具体措施</w:t>
      </w:r>
    </w:p>
    <w:p w:rsidR="00537979" w:rsidRPr="00537979" w:rsidRDefault="00537979" w:rsidP="00537979">
      <w:pPr>
        <w:spacing w:line="570" w:lineRule="exact"/>
        <w:rPr>
          <w:rFonts w:ascii="仿宋" w:eastAsia="仿宋" w:hAnsi="仿宋"/>
          <w:sz w:val="32"/>
          <w:szCs w:val="32"/>
        </w:rPr>
      </w:pPr>
    </w:p>
    <w:p w:rsidR="00537979" w:rsidRPr="00537979" w:rsidRDefault="00537979" w:rsidP="00537979">
      <w:pPr>
        <w:spacing w:line="570" w:lineRule="exact"/>
        <w:ind w:firstLineChars="200" w:firstLine="640"/>
        <w:rPr>
          <w:rFonts w:ascii="仿宋" w:eastAsia="仿宋" w:hAnsi="仿宋"/>
          <w:sz w:val="32"/>
          <w:szCs w:val="32"/>
        </w:rPr>
      </w:pPr>
      <w:r w:rsidRPr="00537979">
        <w:rPr>
          <w:rFonts w:ascii="仿宋" w:eastAsia="仿宋" w:hAnsi="仿宋"/>
          <w:sz w:val="32"/>
          <w:szCs w:val="32"/>
        </w:rPr>
        <w:t>为</w:t>
      </w:r>
      <w:r w:rsidRPr="00537979">
        <w:rPr>
          <w:rFonts w:ascii="仿宋" w:eastAsia="仿宋" w:hAnsi="仿宋" w:hint="eastAsia"/>
          <w:sz w:val="32"/>
          <w:szCs w:val="32"/>
        </w:rPr>
        <w:t>深入学习</w:t>
      </w:r>
      <w:r w:rsidRPr="00537979">
        <w:rPr>
          <w:rFonts w:ascii="仿宋" w:eastAsia="仿宋" w:hAnsi="仿宋"/>
          <w:sz w:val="32"/>
          <w:szCs w:val="32"/>
        </w:rPr>
        <w:t>贯彻习近平总书记</w:t>
      </w:r>
      <w:r w:rsidRPr="00537979">
        <w:rPr>
          <w:rFonts w:ascii="仿宋" w:eastAsia="仿宋" w:hAnsi="仿宋" w:hint="eastAsia"/>
          <w:sz w:val="32"/>
          <w:szCs w:val="32"/>
        </w:rPr>
        <w:t>关于优化营商环境、保障企业发展的系列重要讲话重要指示精神，全面贯彻落实党</w:t>
      </w:r>
      <w:r w:rsidRPr="00537979">
        <w:rPr>
          <w:rFonts w:ascii="仿宋" w:eastAsia="仿宋" w:hAnsi="仿宋"/>
          <w:sz w:val="32"/>
          <w:szCs w:val="32"/>
        </w:rPr>
        <w:t>中央</w:t>
      </w:r>
      <w:r w:rsidRPr="00537979">
        <w:rPr>
          <w:rFonts w:ascii="仿宋" w:eastAsia="仿宋" w:hAnsi="仿宋" w:hint="eastAsia"/>
          <w:sz w:val="32"/>
          <w:szCs w:val="32"/>
        </w:rPr>
        <w:t>、</w:t>
      </w:r>
      <w:r w:rsidRPr="00537979">
        <w:rPr>
          <w:rFonts w:ascii="仿宋" w:eastAsia="仿宋" w:hAnsi="仿宋"/>
          <w:sz w:val="32"/>
          <w:szCs w:val="32"/>
        </w:rPr>
        <w:t>最高人民法院</w:t>
      </w:r>
      <w:r w:rsidRPr="00537979">
        <w:rPr>
          <w:rFonts w:ascii="仿宋" w:eastAsia="仿宋" w:hAnsi="仿宋" w:hint="eastAsia"/>
          <w:sz w:val="32"/>
          <w:szCs w:val="32"/>
        </w:rPr>
        <w:t>和省</w:t>
      </w:r>
      <w:r w:rsidRPr="00537979">
        <w:rPr>
          <w:rFonts w:ascii="仿宋" w:eastAsia="仿宋" w:hAnsi="仿宋"/>
          <w:sz w:val="32"/>
          <w:szCs w:val="32"/>
        </w:rPr>
        <w:t>委决策部署，进一步</w:t>
      </w:r>
      <w:r w:rsidRPr="00537979">
        <w:rPr>
          <w:rFonts w:ascii="仿宋" w:eastAsia="仿宋" w:hAnsi="仿宋" w:hint="eastAsia"/>
          <w:sz w:val="32"/>
          <w:szCs w:val="32"/>
        </w:rPr>
        <w:t>发挥司法职能作用，</w:t>
      </w:r>
      <w:r w:rsidRPr="00537979">
        <w:rPr>
          <w:rFonts w:ascii="仿宋" w:eastAsia="仿宋" w:hAnsi="仿宋"/>
          <w:sz w:val="32"/>
          <w:szCs w:val="32"/>
        </w:rPr>
        <w:t>激发</w:t>
      </w:r>
      <w:r w:rsidRPr="00537979">
        <w:rPr>
          <w:rFonts w:ascii="仿宋" w:eastAsia="仿宋" w:hAnsi="仿宋" w:hint="eastAsia"/>
          <w:sz w:val="32"/>
          <w:szCs w:val="32"/>
        </w:rPr>
        <w:t>企业发展</w:t>
      </w:r>
      <w:r w:rsidRPr="00537979">
        <w:rPr>
          <w:rFonts w:ascii="仿宋" w:eastAsia="仿宋" w:hAnsi="仿宋"/>
          <w:sz w:val="32"/>
          <w:szCs w:val="32"/>
        </w:rPr>
        <w:t>活力，</w:t>
      </w:r>
      <w:r w:rsidRPr="00537979">
        <w:rPr>
          <w:rFonts w:ascii="仿宋" w:eastAsia="仿宋" w:hAnsi="仿宋" w:hint="eastAsia"/>
          <w:sz w:val="32"/>
          <w:szCs w:val="32"/>
        </w:rPr>
        <w:t>在《吉林省高级人民法院关于服务企业发展进一步优化营商法治环境的十项措施》基础上，结合企业司法需求和审判工作实际，提出如下暖企惠企安企具体措施。</w:t>
      </w:r>
    </w:p>
    <w:p w:rsidR="00537979" w:rsidRPr="00537979" w:rsidRDefault="00537979" w:rsidP="00537979">
      <w:pPr>
        <w:spacing w:line="570" w:lineRule="exact"/>
        <w:ind w:firstLineChars="216" w:firstLine="691"/>
        <w:rPr>
          <w:rFonts w:ascii="Times New Roman" w:eastAsia="黑体" w:hAnsi="Times New Roman"/>
          <w:sz w:val="32"/>
          <w:szCs w:val="32"/>
        </w:rPr>
      </w:pPr>
      <w:r w:rsidRPr="00537979">
        <w:rPr>
          <w:rFonts w:ascii="Times New Roman" w:eastAsia="黑体" w:hAnsi="Times New Roman"/>
          <w:sz w:val="32"/>
          <w:szCs w:val="32"/>
        </w:rPr>
        <w:t>一、准确把握涉民营企业相关罪名认定标准</w:t>
      </w:r>
    </w:p>
    <w:p w:rsidR="00537979" w:rsidRPr="00537979" w:rsidRDefault="00537979" w:rsidP="00537979">
      <w:pPr>
        <w:spacing w:line="570" w:lineRule="exact"/>
        <w:ind w:firstLineChars="216" w:firstLine="691"/>
        <w:rPr>
          <w:rFonts w:ascii="Times New Roman" w:eastAsia="仿宋" w:hAnsi="Times New Roman"/>
          <w:sz w:val="32"/>
          <w:szCs w:val="32"/>
        </w:rPr>
      </w:pPr>
      <w:r w:rsidRPr="00537979">
        <w:rPr>
          <w:rFonts w:ascii="Times New Roman" w:eastAsia="仿宋" w:hAnsi="Times New Roman"/>
          <w:sz w:val="32"/>
          <w:szCs w:val="32"/>
        </w:rPr>
        <w:t>1.</w:t>
      </w:r>
      <w:r w:rsidRPr="00537979">
        <w:rPr>
          <w:rFonts w:ascii="Times New Roman" w:eastAsia="仿宋" w:hAnsi="Times New Roman"/>
          <w:sz w:val="32"/>
          <w:szCs w:val="32"/>
        </w:rPr>
        <w:t>对企业依法获得国家补贴，但未严格按照申请用途实际使用补贴款项</w:t>
      </w:r>
      <w:r w:rsidRPr="00537979">
        <w:rPr>
          <w:rFonts w:ascii="Times New Roman" w:eastAsia="仿宋" w:hAnsi="Times New Roman"/>
          <w:spacing w:val="-40"/>
          <w:sz w:val="32"/>
          <w:szCs w:val="32"/>
        </w:rPr>
        <w:t>，</w:t>
      </w:r>
      <w:r w:rsidRPr="00537979">
        <w:rPr>
          <w:rFonts w:ascii="Times New Roman" w:eastAsia="仿宋" w:hAnsi="Times New Roman"/>
          <w:sz w:val="32"/>
          <w:szCs w:val="32"/>
        </w:rPr>
        <w:t>行为人不具有非法占有目的的，不以诈骗罪论处。</w:t>
      </w:r>
    </w:p>
    <w:p w:rsidR="00537979" w:rsidRPr="00537979" w:rsidRDefault="00537979" w:rsidP="00537979">
      <w:pPr>
        <w:spacing w:line="570" w:lineRule="exact"/>
        <w:ind w:firstLineChars="216" w:firstLine="691"/>
        <w:rPr>
          <w:rFonts w:ascii="Times New Roman" w:eastAsia="仿宋" w:hAnsi="Times New Roman"/>
          <w:sz w:val="32"/>
          <w:szCs w:val="32"/>
        </w:rPr>
      </w:pPr>
      <w:r w:rsidRPr="00537979">
        <w:rPr>
          <w:rFonts w:ascii="Times New Roman" w:eastAsia="仿宋" w:hAnsi="Times New Roman"/>
          <w:sz w:val="32"/>
          <w:szCs w:val="32"/>
        </w:rPr>
        <w:t>2.</w:t>
      </w:r>
      <w:r w:rsidRPr="00537979">
        <w:rPr>
          <w:rFonts w:ascii="Times New Roman" w:eastAsia="仿宋" w:hAnsi="Times New Roman"/>
          <w:sz w:val="32"/>
          <w:szCs w:val="32"/>
        </w:rPr>
        <w:t>办理商业贿赂犯罪案件</w:t>
      </w:r>
      <w:r w:rsidRPr="00537979">
        <w:rPr>
          <w:rFonts w:ascii="Times New Roman" w:eastAsia="仿宋" w:hAnsi="Times New Roman"/>
          <w:spacing w:val="-30"/>
          <w:sz w:val="32"/>
          <w:szCs w:val="32"/>
        </w:rPr>
        <w:t>，</w:t>
      </w:r>
      <w:r w:rsidRPr="00537979">
        <w:rPr>
          <w:rFonts w:ascii="Times New Roman" w:eastAsia="仿宋" w:hAnsi="Times New Roman"/>
          <w:sz w:val="32"/>
          <w:szCs w:val="32"/>
        </w:rPr>
        <w:t>对企业给付中间环节以合理的佣金、手续费等行为，且没有谋取不正当利益的</w:t>
      </w:r>
      <w:r w:rsidRPr="00537979">
        <w:rPr>
          <w:rFonts w:ascii="Times New Roman" w:eastAsia="仿宋" w:hAnsi="Times New Roman"/>
          <w:spacing w:val="-40"/>
          <w:sz w:val="32"/>
          <w:szCs w:val="32"/>
        </w:rPr>
        <w:t>，</w:t>
      </w:r>
      <w:r w:rsidRPr="00537979">
        <w:rPr>
          <w:rFonts w:ascii="Times New Roman" w:eastAsia="仿宋" w:hAnsi="Times New Roman"/>
          <w:sz w:val="32"/>
          <w:szCs w:val="32"/>
        </w:rPr>
        <w:t>不以商业贿赂犯罪论处。</w:t>
      </w:r>
    </w:p>
    <w:p w:rsidR="00537979" w:rsidRPr="00537979" w:rsidRDefault="00537979" w:rsidP="00537979">
      <w:pPr>
        <w:spacing w:line="570" w:lineRule="exact"/>
        <w:ind w:firstLineChars="216" w:firstLine="691"/>
        <w:rPr>
          <w:rFonts w:ascii="Times New Roman" w:eastAsia="仿宋" w:hAnsi="Times New Roman"/>
          <w:sz w:val="32"/>
          <w:szCs w:val="32"/>
        </w:rPr>
      </w:pPr>
      <w:r w:rsidRPr="00537979">
        <w:rPr>
          <w:rFonts w:ascii="Times New Roman" w:eastAsia="仿宋" w:hAnsi="Times New Roman"/>
          <w:sz w:val="32"/>
          <w:szCs w:val="32"/>
        </w:rPr>
        <w:t>3.</w:t>
      </w:r>
      <w:r w:rsidRPr="00537979">
        <w:rPr>
          <w:rFonts w:ascii="Times New Roman" w:eastAsia="仿宋" w:hAnsi="Times New Roman"/>
          <w:sz w:val="32"/>
          <w:szCs w:val="32"/>
        </w:rPr>
        <w:t>对有实际生产经营活动的企业为虚增业绩、融资、贷款等非骗税目的，且没有造成税款损失的虚开增值税专用发票行为，不以虚开增值税专用发票罪论处。</w:t>
      </w:r>
    </w:p>
    <w:p w:rsidR="00537979" w:rsidRPr="00537979" w:rsidRDefault="00537979" w:rsidP="00537979">
      <w:pPr>
        <w:spacing w:line="570" w:lineRule="exact"/>
        <w:ind w:firstLineChars="200" w:firstLine="640"/>
        <w:rPr>
          <w:rFonts w:ascii="Times New Roman" w:eastAsia="黑体" w:hAnsi="Times New Roman"/>
          <w:sz w:val="32"/>
          <w:szCs w:val="32"/>
        </w:rPr>
      </w:pPr>
      <w:r w:rsidRPr="00537979">
        <w:rPr>
          <w:rFonts w:ascii="Times New Roman" w:eastAsia="黑体" w:hAnsi="Times New Roman"/>
          <w:sz w:val="32"/>
          <w:szCs w:val="32"/>
        </w:rPr>
        <w:t>二、对涉罪企业依法适用认罪认罚从宽制度</w:t>
      </w:r>
    </w:p>
    <w:p w:rsidR="00537979" w:rsidRPr="00537979" w:rsidRDefault="00537979" w:rsidP="00537979">
      <w:pPr>
        <w:spacing w:line="570" w:lineRule="exact"/>
        <w:ind w:firstLineChars="200" w:firstLine="640"/>
        <w:rPr>
          <w:rFonts w:ascii="Times New Roman" w:eastAsia="仿宋" w:hAnsi="Times New Roman"/>
          <w:sz w:val="32"/>
          <w:szCs w:val="32"/>
        </w:rPr>
      </w:pPr>
      <w:r w:rsidRPr="00537979">
        <w:rPr>
          <w:rFonts w:ascii="Times New Roman" w:eastAsia="仿宋" w:hAnsi="Times New Roman"/>
          <w:sz w:val="32"/>
          <w:szCs w:val="32"/>
        </w:rPr>
        <w:t>4</w:t>
      </w:r>
      <w:r w:rsidRPr="00537979">
        <w:rPr>
          <w:rFonts w:ascii="Times New Roman" w:eastAsia="仿宋" w:hAnsi="Times New Roman"/>
          <w:sz w:val="32"/>
          <w:szCs w:val="32"/>
        </w:rPr>
        <w:t>．准确把握涉罪企业认罪认罚的判断标准，对涉罪企业自愿如实供述自己的罪行、对指控的犯罪事实没有异议、愿意接受处罚、主动退赃退赔、赔偿被害人、有效帮助司法机关追赃挽损，</w:t>
      </w:r>
      <w:r w:rsidRPr="00537979">
        <w:rPr>
          <w:rFonts w:ascii="Times New Roman" w:eastAsia="仿宋" w:hAnsi="Times New Roman"/>
          <w:sz w:val="32"/>
          <w:szCs w:val="32"/>
        </w:rPr>
        <w:lastRenderedPageBreak/>
        <w:t>在承诺期间内完成针对性整改工作的，应当认定为符合认罪认罚的标准。</w:t>
      </w:r>
    </w:p>
    <w:p w:rsidR="00537979" w:rsidRPr="00537979" w:rsidRDefault="00537979" w:rsidP="00537979">
      <w:pPr>
        <w:spacing w:line="570" w:lineRule="exact"/>
        <w:ind w:firstLineChars="200" w:firstLine="640"/>
        <w:rPr>
          <w:rFonts w:ascii="Times New Roman" w:eastAsia="仿宋" w:hAnsi="Times New Roman"/>
          <w:sz w:val="32"/>
          <w:szCs w:val="32"/>
        </w:rPr>
      </w:pPr>
      <w:r w:rsidRPr="00537979">
        <w:rPr>
          <w:rFonts w:ascii="Times New Roman" w:eastAsia="仿宋" w:hAnsi="Times New Roman"/>
          <w:sz w:val="32"/>
          <w:szCs w:val="32"/>
        </w:rPr>
        <w:t>5.</w:t>
      </w:r>
      <w:r w:rsidRPr="00537979">
        <w:rPr>
          <w:rFonts w:ascii="Times New Roman" w:eastAsia="仿宋" w:hAnsi="Times New Roman"/>
          <w:sz w:val="32"/>
          <w:szCs w:val="32"/>
        </w:rPr>
        <w:t>对涉罪企业认罪认罚的，实行办案程序从宽，选择合适的简化程序审理，推动涉罪企业案件快速流转，适量减少涉罪企业遭受刑事追诉之诉累的时间，给予企业相对宽松的期限，以便其有效建立健全风险防控机制。</w:t>
      </w:r>
    </w:p>
    <w:p w:rsidR="00537979" w:rsidRPr="00537979" w:rsidRDefault="00537979" w:rsidP="00537979">
      <w:pPr>
        <w:spacing w:line="570" w:lineRule="exact"/>
        <w:ind w:leftChars="50" w:left="105" w:firstLineChars="150" w:firstLine="480"/>
        <w:rPr>
          <w:rFonts w:ascii="Times New Roman" w:eastAsia="仿宋" w:hAnsi="Times New Roman"/>
          <w:sz w:val="32"/>
          <w:szCs w:val="32"/>
        </w:rPr>
      </w:pPr>
      <w:r w:rsidRPr="00537979">
        <w:rPr>
          <w:rFonts w:ascii="Times New Roman" w:eastAsia="仿宋" w:hAnsi="Times New Roman"/>
          <w:sz w:val="32"/>
          <w:szCs w:val="32"/>
        </w:rPr>
        <w:t>6.</w:t>
      </w:r>
      <w:r w:rsidRPr="00537979">
        <w:rPr>
          <w:rFonts w:ascii="Times New Roman" w:eastAsia="仿宋" w:hAnsi="Times New Roman"/>
          <w:sz w:val="32"/>
          <w:szCs w:val="32"/>
        </w:rPr>
        <w:t>合理确定认罪认罚企业的罚金数额，既要防止企业遭遇破产危机，又要保证企业获得履行相关义务的资金支持。</w:t>
      </w:r>
    </w:p>
    <w:p w:rsidR="00537979" w:rsidRPr="00537979" w:rsidRDefault="00537979" w:rsidP="00537979">
      <w:pPr>
        <w:spacing w:line="570" w:lineRule="exact"/>
        <w:ind w:firstLineChars="200" w:firstLine="640"/>
        <w:rPr>
          <w:rFonts w:ascii="Times New Roman" w:eastAsia="黑体" w:hAnsi="Times New Roman"/>
          <w:sz w:val="32"/>
          <w:szCs w:val="32"/>
        </w:rPr>
      </w:pPr>
      <w:r w:rsidRPr="00537979">
        <w:rPr>
          <w:rFonts w:ascii="Times New Roman" w:eastAsia="黑体" w:hAnsi="Times New Roman"/>
          <w:sz w:val="32"/>
          <w:szCs w:val="32"/>
        </w:rPr>
        <w:t>三、对在押民营企业经营者依法从宽适用取保候审措施</w:t>
      </w:r>
    </w:p>
    <w:p w:rsidR="00537979" w:rsidRPr="00537979" w:rsidRDefault="00537979" w:rsidP="00537979">
      <w:pPr>
        <w:spacing w:line="570" w:lineRule="exact"/>
        <w:ind w:firstLineChars="200" w:firstLine="640"/>
        <w:rPr>
          <w:rFonts w:ascii="Times New Roman" w:eastAsia="仿宋" w:hAnsi="Times New Roman"/>
          <w:sz w:val="32"/>
          <w:szCs w:val="32"/>
        </w:rPr>
      </w:pPr>
      <w:r w:rsidRPr="00537979">
        <w:rPr>
          <w:rFonts w:ascii="Times New Roman" w:eastAsia="黑体" w:hAnsi="Times New Roman"/>
          <w:sz w:val="32"/>
          <w:szCs w:val="32"/>
        </w:rPr>
        <w:t>7.</w:t>
      </w:r>
      <w:r w:rsidRPr="00537979">
        <w:rPr>
          <w:rFonts w:ascii="Times New Roman" w:eastAsia="仿宋" w:hAnsi="Times New Roman"/>
          <w:sz w:val="32"/>
          <w:szCs w:val="32"/>
        </w:rPr>
        <w:t>在审理涉企刑事案件时，及时对在押企业经营者特别是对民营企业生产经营具有实际支配作用的法定代表人、实际控制人、主要经营管理人等开展羁押必要性审查。</w:t>
      </w:r>
    </w:p>
    <w:p w:rsidR="00537979" w:rsidRPr="00537979" w:rsidRDefault="00537979" w:rsidP="00537979">
      <w:pPr>
        <w:spacing w:line="570" w:lineRule="exact"/>
        <w:ind w:firstLineChars="200" w:firstLine="640"/>
        <w:rPr>
          <w:rFonts w:ascii="Times New Roman" w:eastAsia="仿宋" w:hAnsi="Times New Roman"/>
          <w:sz w:val="32"/>
          <w:szCs w:val="32"/>
        </w:rPr>
      </w:pPr>
      <w:r w:rsidRPr="00537979">
        <w:rPr>
          <w:rFonts w:ascii="Times New Roman" w:eastAsia="仿宋" w:hAnsi="Times New Roman"/>
          <w:sz w:val="32"/>
          <w:szCs w:val="32"/>
        </w:rPr>
        <w:t>8.</w:t>
      </w:r>
      <w:r w:rsidRPr="00537979">
        <w:rPr>
          <w:rFonts w:ascii="Times New Roman" w:eastAsia="仿宋" w:hAnsi="Times New Roman"/>
          <w:sz w:val="32"/>
          <w:szCs w:val="32"/>
        </w:rPr>
        <w:t>除刑事诉讼法第六十七条规定的四种情形外，对作为被告人的民营企业负责人，具有以下情形之一的，可以取保候审：（一）可能作出无罪判决的；</w:t>
      </w:r>
      <w:r w:rsidRPr="00537979">
        <w:rPr>
          <w:rFonts w:ascii="Times New Roman" w:eastAsia="仿宋" w:hAnsi="Times New Roman"/>
          <w:sz w:val="32"/>
          <w:szCs w:val="32"/>
        </w:rPr>
        <w:t xml:space="preserve"> (</w:t>
      </w:r>
      <w:r w:rsidRPr="00537979">
        <w:rPr>
          <w:rFonts w:ascii="Times New Roman" w:eastAsia="仿宋" w:hAnsi="Times New Roman"/>
          <w:sz w:val="32"/>
          <w:szCs w:val="32"/>
        </w:rPr>
        <w:t>二</w:t>
      </w:r>
      <w:r w:rsidRPr="00537979">
        <w:rPr>
          <w:rFonts w:ascii="Times New Roman" w:eastAsia="仿宋" w:hAnsi="Times New Roman"/>
          <w:sz w:val="32"/>
          <w:szCs w:val="32"/>
        </w:rPr>
        <w:t>)</w:t>
      </w:r>
      <w:r w:rsidRPr="00537979">
        <w:rPr>
          <w:rFonts w:ascii="Times New Roman" w:eastAsia="仿宋" w:hAnsi="Times New Roman"/>
          <w:sz w:val="32"/>
          <w:szCs w:val="32"/>
        </w:rPr>
        <w:t>可能判处有期徒刑或者拘役、管制，犯罪事实清楚，证据确实充分，认罪态度好</w:t>
      </w:r>
      <w:r w:rsidRPr="00537979">
        <w:rPr>
          <w:rFonts w:ascii="Times New Roman" w:eastAsia="仿宋" w:hAnsi="Times New Roman"/>
          <w:spacing w:val="-50"/>
          <w:sz w:val="32"/>
          <w:szCs w:val="32"/>
        </w:rPr>
        <w:t>，</w:t>
      </w:r>
      <w:r w:rsidRPr="00537979">
        <w:rPr>
          <w:rFonts w:ascii="Times New Roman" w:eastAsia="仿宋" w:hAnsi="Times New Roman"/>
          <w:sz w:val="32"/>
          <w:szCs w:val="32"/>
        </w:rPr>
        <w:t>积极赔偿或退赃，采取取保候审能够保证诉讼顺利进行的；（三）检察机关已经取保候审或者建议取保候审，经审查不存在妨碍审判的情形，不致发生社会危害的；（四）没有羁押必要，可以取保候审的其他情形。</w:t>
      </w:r>
    </w:p>
    <w:p w:rsidR="00537979" w:rsidRPr="00537979" w:rsidRDefault="00537979" w:rsidP="00537979">
      <w:pPr>
        <w:spacing w:line="570" w:lineRule="exact"/>
        <w:ind w:firstLineChars="200" w:firstLine="640"/>
        <w:rPr>
          <w:rFonts w:ascii="Times New Roman" w:eastAsia="仿宋" w:hAnsi="Times New Roman"/>
          <w:sz w:val="32"/>
          <w:szCs w:val="32"/>
        </w:rPr>
      </w:pPr>
      <w:r w:rsidRPr="00537979">
        <w:rPr>
          <w:rFonts w:ascii="Times New Roman" w:eastAsia="仿宋" w:hAnsi="Times New Roman"/>
          <w:sz w:val="32"/>
          <w:szCs w:val="32"/>
        </w:rPr>
        <w:t>9.</w:t>
      </w:r>
      <w:r w:rsidRPr="00537979">
        <w:rPr>
          <w:rFonts w:ascii="Times New Roman" w:eastAsia="仿宋" w:hAnsi="Times New Roman"/>
          <w:sz w:val="32"/>
          <w:szCs w:val="32"/>
        </w:rPr>
        <w:t>对民营企业负责人为被告人在进行审判程序前已被羁押的案件，被告人及其法定代理人、近亲属或者辩护人申请，检察机关建议变更强制措施的，人民法院应当进行审查，人民法院也可以依职权对是否变更强制措施进行审查。被告人及其法定代理人、</w:t>
      </w:r>
      <w:r w:rsidRPr="00537979">
        <w:rPr>
          <w:rFonts w:ascii="Times New Roman" w:eastAsia="仿宋" w:hAnsi="Times New Roman"/>
          <w:sz w:val="32"/>
          <w:szCs w:val="32"/>
        </w:rPr>
        <w:lastRenderedPageBreak/>
        <w:t>近亲属或者辩护人提出申请的，应以书面方式提出并提供相关证明材料。人民法院应对被告人是否符合取保候审条件进行全面审查，必要时可以听取办理案件的检察机关、公安机关或相关主管部门等意见。</w:t>
      </w:r>
    </w:p>
    <w:p w:rsidR="00537979" w:rsidRPr="00537979" w:rsidRDefault="00537979" w:rsidP="00537979">
      <w:pPr>
        <w:spacing w:line="570" w:lineRule="exact"/>
        <w:ind w:firstLineChars="200" w:firstLine="640"/>
        <w:rPr>
          <w:rFonts w:ascii="Times New Roman" w:eastAsia="黑体" w:hAnsi="Times New Roman"/>
          <w:sz w:val="32"/>
          <w:szCs w:val="32"/>
        </w:rPr>
      </w:pPr>
      <w:r w:rsidRPr="00537979">
        <w:rPr>
          <w:rFonts w:ascii="Times New Roman" w:eastAsia="黑体" w:hAnsi="Times New Roman"/>
          <w:sz w:val="32"/>
          <w:szCs w:val="32"/>
        </w:rPr>
        <w:t>四、对涉企案件审慎精准适用民事财产保全措施</w:t>
      </w:r>
    </w:p>
    <w:p w:rsidR="00537979" w:rsidRPr="00537979" w:rsidRDefault="00537979" w:rsidP="00537979">
      <w:pPr>
        <w:spacing w:line="570" w:lineRule="exact"/>
        <w:ind w:firstLineChars="200" w:firstLine="640"/>
        <w:rPr>
          <w:rFonts w:ascii="Times New Roman" w:eastAsia="仿宋" w:hAnsi="Times New Roman"/>
          <w:sz w:val="32"/>
          <w:szCs w:val="32"/>
        </w:rPr>
      </w:pPr>
      <w:r w:rsidRPr="00537979">
        <w:rPr>
          <w:rFonts w:ascii="Times New Roman" w:eastAsia="黑体" w:hAnsi="Times New Roman"/>
          <w:sz w:val="32"/>
          <w:szCs w:val="32"/>
        </w:rPr>
        <w:t>10.</w:t>
      </w:r>
      <w:r w:rsidRPr="00537979">
        <w:rPr>
          <w:rFonts w:ascii="Times New Roman" w:eastAsia="仿宋" w:hAnsi="Times New Roman"/>
          <w:sz w:val="32"/>
          <w:szCs w:val="32"/>
        </w:rPr>
        <w:t>合理界定涉企民事财产保全标的额。办理涉企民事财产保全案件时，依法裁定保全标的额，诉前财产保全案件的保全标的额不得超过申请标的额，诉讼财产保全案件的保全标的额不得超过诉讼标的额。申请保全人申请的保全标的额高于诉讼标的额的，人民法院应当向其释明，引导其在诉讼标的额范围内合理确定；申请保全人坚持要求保全的标的额超过诉讼标的额的，裁定保全标的额仍应以诉讼标的额为限。利害关系人、当事人申请保全特定标的物的，要依法审查保全标的物的价值，确保裁定保全标的额不超过诉讼标的额，但该特定标的物系诉争标的物除外。</w:t>
      </w:r>
    </w:p>
    <w:p w:rsidR="00537979" w:rsidRPr="00537979" w:rsidRDefault="00537979" w:rsidP="00537979">
      <w:pPr>
        <w:spacing w:line="570" w:lineRule="exact"/>
        <w:ind w:firstLineChars="200" w:firstLine="640"/>
        <w:rPr>
          <w:rFonts w:ascii="Times New Roman" w:eastAsia="仿宋" w:hAnsi="Times New Roman"/>
          <w:sz w:val="32"/>
          <w:szCs w:val="32"/>
        </w:rPr>
      </w:pPr>
      <w:r w:rsidRPr="00537979">
        <w:rPr>
          <w:rFonts w:ascii="Times New Roman" w:eastAsia="仿宋" w:hAnsi="Times New Roman"/>
          <w:sz w:val="32"/>
          <w:szCs w:val="32"/>
        </w:rPr>
        <w:t>11.</w:t>
      </w:r>
      <w:r w:rsidRPr="00537979">
        <w:rPr>
          <w:rFonts w:ascii="Times New Roman" w:eastAsia="仿宋" w:hAnsi="Times New Roman"/>
          <w:sz w:val="32"/>
          <w:szCs w:val="32"/>
        </w:rPr>
        <w:t>严禁明显超标的额保全企业财产。保全被保全企业的财产，一般以采取保全措施时为基准时点对保全财产进行估值。保全财产的范围，原则上以其价值满足保全标的额为限；对于财产价值受行情影响变化较大、财产整体不可分的，一般不得超过保全标的额的</w:t>
      </w:r>
      <w:r w:rsidRPr="00537979">
        <w:rPr>
          <w:rFonts w:ascii="Times New Roman" w:eastAsia="仿宋" w:hAnsi="Times New Roman"/>
          <w:sz w:val="32"/>
          <w:szCs w:val="32"/>
        </w:rPr>
        <w:t>20%</w:t>
      </w:r>
      <w:r w:rsidRPr="00537979">
        <w:rPr>
          <w:rFonts w:ascii="Times New Roman" w:eastAsia="仿宋" w:hAnsi="Times New Roman"/>
          <w:sz w:val="32"/>
          <w:szCs w:val="32"/>
        </w:rPr>
        <w:t>。申请保全人以综合考量财产未来价值变化、进入执行程序后财产变价折扣、实现债权费用等因素为由，申请保全更多财产的，人民法院不予支持。被保全企业名下有多项财产可供保全的，人民法院可以根据案件情况合理确定保全财产顺位。保全部分财产即可达到保全标的额的，不得再对被保全企业名下的</w:t>
      </w:r>
      <w:r w:rsidRPr="00537979">
        <w:rPr>
          <w:rFonts w:ascii="Times New Roman" w:eastAsia="仿宋" w:hAnsi="Times New Roman"/>
          <w:sz w:val="32"/>
          <w:szCs w:val="32"/>
        </w:rPr>
        <w:lastRenderedPageBreak/>
        <w:t>其他财产采取保全措施，已经采取的保全措施应当解除。当事人、利害关系人对保全估值有异议，坚持认为系明显超标的保全或保全明显不足值的，应当引导其按照民事诉讼法第二百二十五条规定提起执行异议。</w:t>
      </w:r>
    </w:p>
    <w:p w:rsidR="00537979" w:rsidRPr="00537979" w:rsidRDefault="00537979" w:rsidP="00537979">
      <w:pPr>
        <w:spacing w:line="570" w:lineRule="exact"/>
        <w:ind w:firstLineChars="200" w:firstLine="640"/>
        <w:rPr>
          <w:rFonts w:ascii="Times New Roman" w:eastAsia="仿宋" w:hAnsi="Times New Roman"/>
          <w:sz w:val="32"/>
          <w:szCs w:val="32"/>
        </w:rPr>
      </w:pPr>
      <w:r w:rsidRPr="00537979">
        <w:rPr>
          <w:rFonts w:ascii="Times New Roman" w:eastAsia="仿宋" w:hAnsi="Times New Roman"/>
          <w:sz w:val="32"/>
          <w:szCs w:val="32"/>
        </w:rPr>
        <w:t>12.</w:t>
      </w:r>
      <w:r w:rsidRPr="00537979">
        <w:rPr>
          <w:rFonts w:ascii="Times New Roman" w:eastAsia="仿宋" w:hAnsi="Times New Roman"/>
          <w:sz w:val="32"/>
          <w:szCs w:val="32"/>
        </w:rPr>
        <w:t>准确估算保全财产价值。办理涉企民事财产保全案件，应当根据保全财产的权属状况、保全顺位、权利负担等情况，逐一估算价值。因情况紧急，未经事先估值径行保全的，应当在保全完成后及时对保全财产进行事后估值。事后估值发现保全财产价值与裁定保全标的额明显不相当的，应当解除或追加相应的保全措施。根据已有财产信息难以确定保全价值的，可以参照《最高人民法院关于人民法院确定财产处置参考价若干问题的规定》，先组织双方当事人进行议价；议价一致的，该议定价值为保全财产价值；当事人议价不能或不成的，可以再选择通过定向询价、网络询价等方式确定保全财产价值。当事人坚持要求评估的，人民法院可以准许，费用由评估申请人负担。</w:t>
      </w:r>
    </w:p>
    <w:p w:rsidR="00537979" w:rsidRPr="00537979" w:rsidRDefault="00537979" w:rsidP="00537979">
      <w:pPr>
        <w:spacing w:line="570" w:lineRule="exact"/>
        <w:ind w:firstLineChars="200" w:firstLine="640"/>
        <w:rPr>
          <w:rFonts w:ascii="Times New Roman" w:eastAsia="黑体" w:hAnsi="Times New Roman"/>
          <w:sz w:val="32"/>
          <w:szCs w:val="32"/>
        </w:rPr>
      </w:pPr>
      <w:r w:rsidRPr="00537979">
        <w:rPr>
          <w:rFonts w:ascii="Times New Roman" w:eastAsia="黑体" w:hAnsi="Times New Roman"/>
          <w:sz w:val="32"/>
          <w:szCs w:val="32"/>
        </w:rPr>
        <w:t>五、对涉企案件实行经济影响评估制度</w:t>
      </w:r>
    </w:p>
    <w:p w:rsidR="00537979" w:rsidRPr="00537979" w:rsidRDefault="00537979" w:rsidP="00537979">
      <w:pPr>
        <w:spacing w:line="570" w:lineRule="exact"/>
        <w:ind w:firstLineChars="200" w:firstLine="640"/>
        <w:rPr>
          <w:rFonts w:ascii="Times New Roman" w:eastAsia="仿宋" w:hAnsi="Times New Roman"/>
          <w:sz w:val="32"/>
          <w:szCs w:val="32"/>
        </w:rPr>
      </w:pPr>
      <w:r w:rsidRPr="00537979">
        <w:rPr>
          <w:rFonts w:ascii="Times New Roman" w:eastAsia="黑体" w:hAnsi="Times New Roman"/>
          <w:sz w:val="32"/>
          <w:szCs w:val="32"/>
        </w:rPr>
        <w:t>13.</w:t>
      </w:r>
      <w:r w:rsidRPr="00537979">
        <w:rPr>
          <w:rFonts w:ascii="Times New Roman" w:eastAsia="仿宋" w:hAnsi="Times New Roman"/>
          <w:sz w:val="32"/>
          <w:szCs w:val="32"/>
        </w:rPr>
        <w:t>在立案、保全、审理、执行、审限管理、司法公开等各环节，对拟开展的审判活动或采取的司法措施，可能给企业正常生产经营带来严重且不可逆的后果，可能影响技术进步或产业升级，可以影响当地区域金融稳定，可能引发上市公司股价异常波动等情形的，应当进行经济影响评估，并及时做出审慎使用强制措施、审慎发布涉案信息等有效防范和处置措施，避免因司法措施不当，影响民营企业正常生产、工作秩序或引发群体性、突发性事件，</w:t>
      </w:r>
      <w:r w:rsidRPr="00537979">
        <w:rPr>
          <w:rFonts w:ascii="Times New Roman" w:eastAsia="仿宋" w:hAnsi="Times New Roman"/>
          <w:sz w:val="32"/>
          <w:szCs w:val="32"/>
        </w:rPr>
        <w:lastRenderedPageBreak/>
        <w:t>努力使司法活动对企业生产经营的负面影响降至最低。</w:t>
      </w:r>
    </w:p>
    <w:p w:rsidR="00537979" w:rsidRPr="00537979" w:rsidRDefault="00537979" w:rsidP="00537979">
      <w:pPr>
        <w:spacing w:line="570" w:lineRule="exact"/>
        <w:ind w:firstLineChars="200" w:firstLine="640"/>
        <w:rPr>
          <w:rFonts w:ascii="Times New Roman" w:eastAsia="仿宋" w:hAnsi="Times New Roman"/>
          <w:sz w:val="32"/>
          <w:szCs w:val="32"/>
        </w:rPr>
      </w:pPr>
      <w:r w:rsidRPr="00537979">
        <w:rPr>
          <w:rFonts w:ascii="Times New Roman" w:eastAsia="仿宋" w:hAnsi="Times New Roman"/>
          <w:sz w:val="32"/>
          <w:szCs w:val="32"/>
        </w:rPr>
        <w:t>14.</w:t>
      </w:r>
      <w:r w:rsidRPr="00537979">
        <w:rPr>
          <w:rFonts w:ascii="Times New Roman" w:eastAsia="仿宋" w:hAnsi="Times New Roman"/>
          <w:sz w:val="32"/>
          <w:szCs w:val="32"/>
        </w:rPr>
        <w:t>立案、审判、执行等各环节的办案人员或办案单位对涉企案件拟开展的审判活动或采取的司法措施均应进行经济影响评估，并实行一案一表载入卷宗，确保经济影响评估到位，预案措施布置到位。合议庭应当将涉企案件经济影响评估情况作为合议事项，每个合议庭成员均应对评估结果及处置措施发表明确意见，并记入合议笔录。对辖区内重点企业涉诉案件和重大项目建设中涉诉案件经济影响评估情况，一并纳入院庭长监督管理范围，由院庭长进行审批。</w:t>
      </w:r>
    </w:p>
    <w:p w:rsidR="00537979" w:rsidRPr="00537979" w:rsidRDefault="00537979" w:rsidP="00537979">
      <w:pPr>
        <w:spacing w:line="570" w:lineRule="exact"/>
        <w:ind w:firstLineChars="200" w:firstLine="640"/>
        <w:rPr>
          <w:rFonts w:ascii="Times New Roman" w:eastAsia="仿宋" w:hAnsi="Times New Roman"/>
          <w:sz w:val="32"/>
          <w:szCs w:val="32"/>
        </w:rPr>
      </w:pPr>
      <w:r w:rsidRPr="00537979">
        <w:rPr>
          <w:rFonts w:ascii="Times New Roman" w:eastAsia="仿宋" w:hAnsi="Times New Roman"/>
          <w:sz w:val="32"/>
          <w:szCs w:val="32"/>
        </w:rPr>
        <w:t>15.</w:t>
      </w:r>
      <w:r w:rsidRPr="00537979">
        <w:rPr>
          <w:rFonts w:ascii="Times New Roman" w:eastAsia="仿宋" w:hAnsi="Times New Roman"/>
          <w:sz w:val="32"/>
          <w:szCs w:val="32"/>
        </w:rPr>
        <w:t>各级法院要定期对涉企案件进行评查，将一案一评查纳入常规案件评查、精品案件评比和年终绩效考核，对涉企案件未进行经济影响评估的给予一定的扣分。对应当进行评估而不予评估，或承办部门、承办人严重不负责任，采取措施不当，导致信访或其他重大事件发生的，按照责任倒查的有关规定，追究相关人员的责任。</w:t>
      </w:r>
    </w:p>
    <w:p w:rsidR="00537979" w:rsidRPr="00537979" w:rsidRDefault="00537979" w:rsidP="00537979">
      <w:pPr>
        <w:spacing w:line="570" w:lineRule="exact"/>
        <w:ind w:firstLineChars="200" w:firstLine="640"/>
        <w:rPr>
          <w:rFonts w:ascii="Times New Roman" w:eastAsia="黑体" w:hAnsi="Times New Roman"/>
          <w:sz w:val="32"/>
          <w:szCs w:val="32"/>
        </w:rPr>
      </w:pPr>
      <w:r w:rsidRPr="00537979">
        <w:rPr>
          <w:rFonts w:ascii="Times New Roman" w:eastAsia="黑体" w:hAnsi="Times New Roman"/>
          <w:sz w:val="32"/>
          <w:szCs w:val="32"/>
        </w:rPr>
        <w:t>六、建立涉企案件统一协调机制</w:t>
      </w:r>
    </w:p>
    <w:p w:rsidR="00537979" w:rsidRPr="00537979" w:rsidRDefault="00537979" w:rsidP="00537979">
      <w:pPr>
        <w:spacing w:line="570" w:lineRule="exact"/>
        <w:ind w:firstLineChars="200" w:firstLine="640"/>
        <w:rPr>
          <w:rFonts w:ascii="Times New Roman" w:eastAsia="仿宋" w:hAnsi="Times New Roman"/>
          <w:sz w:val="32"/>
          <w:szCs w:val="32"/>
        </w:rPr>
      </w:pPr>
      <w:r w:rsidRPr="00537979">
        <w:rPr>
          <w:rFonts w:ascii="Times New Roman" w:eastAsia="仿宋" w:hAnsi="Times New Roman"/>
          <w:sz w:val="32"/>
          <w:szCs w:val="32"/>
        </w:rPr>
        <w:t>16.</w:t>
      </w:r>
      <w:r w:rsidRPr="00537979">
        <w:rPr>
          <w:rFonts w:ascii="Times New Roman" w:eastAsia="仿宋" w:hAnsi="Times New Roman"/>
          <w:sz w:val="32"/>
          <w:szCs w:val="32"/>
        </w:rPr>
        <w:t>各级法院成立由</w:t>
      </w:r>
      <w:r w:rsidRPr="00537979">
        <w:rPr>
          <w:rFonts w:ascii="Times New Roman" w:eastAsia="仿宋" w:hAnsi="Times New Roman"/>
          <w:sz w:val="32"/>
          <w:szCs w:val="32"/>
        </w:rPr>
        <w:t>“</w:t>
      </w:r>
      <w:r w:rsidRPr="00537979">
        <w:rPr>
          <w:rFonts w:ascii="Times New Roman" w:eastAsia="仿宋" w:hAnsi="Times New Roman"/>
          <w:sz w:val="32"/>
          <w:szCs w:val="32"/>
        </w:rPr>
        <w:t>一把手</w:t>
      </w:r>
      <w:r w:rsidRPr="00537979">
        <w:rPr>
          <w:rFonts w:ascii="Times New Roman" w:eastAsia="仿宋" w:hAnsi="Times New Roman"/>
          <w:sz w:val="32"/>
          <w:szCs w:val="32"/>
        </w:rPr>
        <w:t>”</w:t>
      </w:r>
      <w:r w:rsidRPr="00537979">
        <w:rPr>
          <w:rFonts w:ascii="Times New Roman" w:eastAsia="仿宋" w:hAnsi="Times New Roman"/>
          <w:sz w:val="32"/>
          <w:szCs w:val="32"/>
        </w:rPr>
        <w:t>任组长的涉企案件工作领导小组，加强对重点企业涉诉案件和重大项目建设中涉诉案件审理的指导、协调工作。认真研判企业纠纷案件中遇到的新问题，及时向有关部门通报情况，提出司法建议和风险预警。领导小组下设办公室，具体负责工作落实。</w:t>
      </w:r>
    </w:p>
    <w:p w:rsidR="00537979" w:rsidRPr="00537979" w:rsidRDefault="00537979" w:rsidP="00537979">
      <w:pPr>
        <w:spacing w:line="570" w:lineRule="exact"/>
        <w:ind w:firstLineChars="200" w:firstLine="640"/>
        <w:rPr>
          <w:rFonts w:ascii="Times New Roman" w:eastAsia="仿宋" w:hAnsi="Times New Roman"/>
          <w:sz w:val="32"/>
          <w:szCs w:val="32"/>
        </w:rPr>
      </w:pPr>
      <w:r w:rsidRPr="00537979">
        <w:rPr>
          <w:rFonts w:ascii="Times New Roman" w:eastAsia="仿宋" w:hAnsi="Times New Roman"/>
          <w:sz w:val="32"/>
          <w:szCs w:val="32"/>
        </w:rPr>
        <w:t>17.</w:t>
      </w:r>
      <w:r w:rsidRPr="00537979">
        <w:rPr>
          <w:rFonts w:ascii="Times New Roman" w:eastAsia="仿宋" w:hAnsi="Times New Roman"/>
          <w:sz w:val="32"/>
          <w:szCs w:val="32"/>
        </w:rPr>
        <w:t>构建涉企案件立审执统一协调、快速办理机制。对辖区内重点企业涉诉案件和重大项目建设涉诉案件，符合立案条件且手</w:t>
      </w:r>
      <w:r w:rsidRPr="00537979">
        <w:rPr>
          <w:rFonts w:ascii="Times New Roman" w:eastAsia="仿宋" w:hAnsi="Times New Roman"/>
          <w:sz w:val="32"/>
          <w:szCs w:val="32"/>
        </w:rPr>
        <w:lastRenderedPageBreak/>
        <w:t>续齐全的，当日立案。立案庭立案后，情况紧急的，立案庭应当即时将相关材料移交审理庭。对符合保全条件且情况紧急的，一般应当在一日内做出保全裁定，并交付执行。对按普通程序审理的，一般应在举证期限届满后七日内开庭，庭审闭庭后，一般应在三日内进行合议，合议后三日内制作法律文书并送达当事人。对企业申请执行的，立案庭应当在申请当日立案完毕并交付执行。</w:t>
      </w:r>
    </w:p>
    <w:p w:rsidR="00537979" w:rsidRPr="00537979" w:rsidRDefault="00537979" w:rsidP="00537979">
      <w:pPr>
        <w:spacing w:line="680" w:lineRule="exact"/>
        <w:rPr>
          <w:sz w:val="32"/>
        </w:rPr>
      </w:pPr>
    </w:p>
    <w:p w:rsidR="00537979" w:rsidRPr="00537979" w:rsidRDefault="00537979" w:rsidP="00537979">
      <w:pPr>
        <w:rPr>
          <w:sz w:val="32"/>
        </w:rPr>
      </w:pPr>
    </w:p>
    <w:p w:rsidR="00537979" w:rsidRPr="00537979" w:rsidRDefault="00537979" w:rsidP="009A7A61">
      <w:pPr>
        <w:spacing w:line="460" w:lineRule="exact"/>
        <w:rPr>
          <w:rFonts w:ascii="Times New Roman" w:eastAsia="华文楷体" w:hAnsi="Times New Roman"/>
          <w:sz w:val="28"/>
          <w:szCs w:val="28"/>
        </w:rPr>
      </w:pPr>
    </w:p>
    <w:sectPr w:rsidR="00537979" w:rsidRPr="00537979" w:rsidSect="008F0E6F">
      <w:footerReference w:type="default" r:id="rId8"/>
      <w:pgSz w:w="11906" w:h="16838"/>
      <w:pgMar w:top="1588" w:right="1418" w:bottom="158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E96" w:rsidRDefault="004E1E96" w:rsidP="004C0E73">
      <w:r>
        <w:separator/>
      </w:r>
    </w:p>
  </w:endnote>
  <w:endnote w:type="continuationSeparator" w:id="1">
    <w:p w:rsidR="004E1E96" w:rsidRDefault="004E1E96" w:rsidP="004C0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066650"/>
      <w:docPartObj>
        <w:docPartGallery w:val="Page Numbers (Bottom of Page)"/>
        <w:docPartUnique/>
      </w:docPartObj>
    </w:sdtPr>
    <w:sdtEndPr>
      <w:rPr>
        <w:rFonts w:ascii="Times New Roman" w:hAnsi="Times New Roman" w:cs="Times New Roman"/>
        <w:sz w:val="28"/>
        <w:szCs w:val="28"/>
      </w:rPr>
    </w:sdtEndPr>
    <w:sdtContent>
      <w:p w:rsidR="00680499" w:rsidRPr="00BE54A2" w:rsidRDefault="007404D6" w:rsidP="007404D6">
        <w:pPr>
          <w:pStyle w:val="a4"/>
          <w:tabs>
            <w:tab w:val="left" w:pos="4080"/>
            <w:tab w:val="center" w:pos="4535"/>
          </w:tabs>
          <w:rPr>
            <w:rFonts w:ascii="Times New Roman" w:hAnsi="Times New Roman" w:cs="Times New Roman"/>
            <w:sz w:val="28"/>
            <w:szCs w:val="28"/>
          </w:rPr>
        </w:pPr>
        <w:r>
          <w:tab/>
        </w:r>
        <w:r>
          <w:tab/>
        </w:r>
        <w:r>
          <w:tab/>
        </w:r>
        <w:r w:rsidR="00F3061E" w:rsidRPr="006C358A">
          <w:rPr>
            <w:rFonts w:ascii="宋体" w:hAnsi="宋体" w:hint="eastAsia"/>
            <w:sz w:val="28"/>
            <w:szCs w:val="28"/>
          </w:rPr>
          <w:t>—</w:t>
        </w:r>
        <w:r w:rsidR="00C22D3B" w:rsidRPr="00F3061E">
          <w:rPr>
            <w:rFonts w:ascii="仿宋" w:eastAsia="仿宋" w:hAnsi="仿宋" w:cs="Times New Roman"/>
            <w:sz w:val="28"/>
            <w:szCs w:val="28"/>
          </w:rPr>
          <w:fldChar w:fldCharType="begin"/>
        </w:r>
        <w:r w:rsidR="00680499" w:rsidRPr="00F3061E">
          <w:rPr>
            <w:rFonts w:ascii="仿宋" w:eastAsia="仿宋" w:hAnsi="仿宋" w:cs="Times New Roman"/>
            <w:sz w:val="28"/>
            <w:szCs w:val="28"/>
          </w:rPr>
          <w:instrText>PAGE   \* MERGEFORMAT</w:instrText>
        </w:r>
        <w:r w:rsidR="00C22D3B" w:rsidRPr="00F3061E">
          <w:rPr>
            <w:rFonts w:ascii="仿宋" w:eastAsia="仿宋" w:hAnsi="仿宋" w:cs="Times New Roman"/>
            <w:sz w:val="28"/>
            <w:szCs w:val="28"/>
          </w:rPr>
          <w:fldChar w:fldCharType="separate"/>
        </w:r>
        <w:r w:rsidR="00DA2EC9" w:rsidRPr="00DA2EC9">
          <w:rPr>
            <w:rFonts w:ascii="仿宋" w:eastAsia="仿宋" w:hAnsi="仿宋" w:cs="Times New Roman"/>
            <w:noProof/>
            <w:sz w:val="28"/>
            <w:szCs w:val="28"/>
            <w:lang w:val="zh-CN"/>
          </w:rPr>
          <w:t>6</w:t>
        </w:r>
        <w:r w:rsidR="00C22D3B" w:rsidRPr="00F3061E">
          <w:rPr>
            <w:rFonts w:ascii="仿宋" w:eastAsia="仿宋" w:hAnsi="仿宋" w:cs="Times New Roman"/>
            <w:sz w:val="28"/>
            <w:szCs w:val="28"/>
          </w:rPr>
          <w:fldChar w:fldCharType="end"/>
        </w:r>
        <w:r w:rsidR="00F3061E" w:rsidRPr="006C358A">
          <w:rPr>
            <w:rFonts w:ascii="宋体" w:hAnsi="宋体" w:hint="eastAsia"/>
            <w:sz w:val="28"/>
            <w:szCs w:val="28"/>
          </w:rPr>
          <w:t>—</w:t>
        </w:r>
      </w:p>
    </w:sdtContent>
  </w:sdt>
  <w:p w:rsidR="00680499" w:rsidRDefault="006804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E96" w:rsidRDefault="004E1E96" w:rsidP="004C0E73">
      <w:r>
        <w:separator/>
      </w:r>
    </w:p>
  </w:footnote>
  <w:footnote w:type="continuationSeparator" w:id="1">
    <w:p w:rsidR="004E1E96" w:rsidRDefault="004E1E96" w:rsidP="004C0E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1A8C"/>
    <w:multiLevelType w:val="hybridMultilevel"/>
    <w:tmpl w:val="E09EC47C"/>
    <w:lvl w:ilvl="0" w:tplc="AD0E9A52">
      <w:start w:val="3"/>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1CDB3BD5"/>
    <w:multiLevelType w:val="hybridMultilevel"/>
    <w:tmpl w:val="4E1E5BC6"/>
    <w:lvl w:ilvl="0" w:tplc="DCB0D726">
      <w:start w:val="1"/>
      <w:numFmt w:val="decimal"/>
      <w:lvlText w:val="%1."/>
      <w:lvlJc w:val="left"/>
      <w:pPr>
        <w:ind w:left="1045" w:hanging="4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24E4684"/>
    <w:multiLevelType w:val="hybridMultilevel"/>
    <w:tmpl w:val="4AB6AA10"/>
    <w:lvl w:ilvl="0" w:tplc="3BE06FF4">
      <w:start w:val="1"/>
      <w:numFmt w:val="japaneseCounting"/>
      <w:lvlText w:val="%1、"/>
      <w:lvlJc w:val="left"/>
      <w:pPr>
        <w:ind w:left="1440" w:hanging="720"/>
      </w:p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3">
    <w:nsid w:val="26E8464B"/>
    <w:multiLevelType w:val="hybridMultilevel"/>
    <w:tmpl w:val="A20C31A4"/>
    <w:lvl w:ilvl="0" w:tplc="C79C2584">
      <w:start w:val="2"/>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29EC7477"/>
    <w:multiLevelType w:val="hybridMultilevel"/>
    <w:tmpl w:val="A20C31A4"/>
    <w:lvl w:ilvl="0" w:tplc="C79C2584">
      <w:start w:val="2"/>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450339B0"/>
    <w:multiLevelType w:val="hybridMultilevel"/>
    <w:tmpl w:val="EDBA96F6"/>
    <w:lvl w:ilvl="0" w:tplc="843676BE">
      <w:start w:val="1"/>
      <w:numFmt w:val="japaneseCounting"/>
      <w:lvlText w:val="%1、"/>
      <w:lvlJc w:val="left"/>
      <w:pPr>
        <w:ind w:left="1360" w:hanging="720"/>
      </w:pPr>
      <w:rPr>
        <w:rFonts w:ascii="黑体" w:eastAsia="黑体" w:hAnsi="黑体" w:hint="eastAsia"/>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6">
    <w:nsid w:val="4FCE52D8"/>
    <w:multiLevelType w:val="hybridMultilevel"/>
    <w:tmpl w:val="90441372"/>
    <w:lvl w:ilvl="0" w:tplc="9CB09570">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56400BB4"/>
    <w:multiLevelType w:val="hybridMultilevel"/>
    <w:tmpl w:val="BC4C428C"/>
    <w:lvl w:ilvl="0" w:tplc="03009814">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8">
    <w:nsid w:val="643D3901"/>
    <w:multiLevelType w:val="hybridMultilevel"/>
    <w:tmpl w:val="EDBA96F6"/>
    <w:lvl w:ilvl="0" w:tplc="843676BE">
      <w:start w:val="1"/>
      <w:numFmt w:val="japaneseCounting"/>
      <w:lvlText w:val="%1、"/>
      <w:lvlJc w:val="left"/>
      <w:pPr>
        <w:ind w:left="720" w:hanging="720"/>
      </w:pPr>
      <w:rPr>
        <w:rFonts w:ascii="黑体" w:eastAsia="黑体" w:hAnsi="黑体"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7"/>
  </w:num>
  <w:num w:numId="6">
    <w:abstractNumId w:val="3"/>
  </w:num>
  <w:num w:numId="7">
    <w:abstractNumId w:val="6"/>
  </w:num>
  <w:num w:numId="8">
    <w:abstractNumId w:val="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0E69"/>
    <w:rsid w:val="00001BB9"/>
    <w:rsid w:val="00016B19"/>
    <w:rsid w:val="00032243"/>
    <w:rsid w:val="000330F8"/>
    <w:rsid w:val="000427BD"/>
    <w:rsid w:val="00063377"/>
    <w:rsid w:val="00066C38"/>
    <w:rsid w:val="00083277"/>
    <w:rsid w:val="00085E4C"/>
    <w:rsid w:val="000911E0"/>
    <w:rsid w:val="000966A9"/>
    <w:rsid w:val="000A20FC"/>
    <w:rsid w:val="000A6330"/>
    <w:rsid w:val="000B0FAE"/>
    <w:rsid w:val="000B2DE6"/>
    <w:rsid w:val="000B5157"/>
    <w:rsid w:val="000B536B"/>
    <w:rsid w:val="000B69A3"/>
    <w:rsid w:val="000B7950"/>
    <w:rsid w:val="000B7C61"/>
    <w:rsid w:val="000C40EC"/>
    <w:rsid w:val="000C52ED"/>
    <w:rsid w:val="000D494B"/>
    <w:rsid w:val="000D712B"/>
    <w:rsid w:val="000E1BD6"/>
    <w:rsid w:val="000E236B"/>
    <w:rsid w:val="000E5083"/>
    <w:rsid w:val="000E6AE0"/>
    <w:rsid w:val="000F78BC"/>
    <w:rsid w:val="00105765"/>
    <w:rsid w:val="00107BCC"/>
    <w:rsid w:val="00111813"/>
    <w:rsid w:val="00121231"/>
    <w:rsid w:val="00132D6C"/>
    <w:rsid w:val="00132D8B"/>
    <w:rsid w:val="00135691"/>
    <w:rsid w:val="00136F82"/>
    <w:rsid w:val="00146820"/>
    <w:rsid w:val="001635A2"/>
    <w:rsid w:val="0018528A"/>
    <w:rsid w:val="0019398E"/>
    <w:rsid w:val="00194105"/>
    <w:rsid w:val="001A111C"/>
    <w:rsid w:val="001A13C7"/>
    <w:rsid w:val="001A390D"/>
    <w:rsid w:val="001A487A"/>
    <w:rsid w:val="001B0AE6"/>
    <w:rsid w:val="001B231B"/>
    <w:rsid w:val="001B75EF"/>
    <w:rsid w:val="001C0160"/>
    <w:rsid w:val="001C1921"/>
    <w:rsid w:val="001C6974"/>
    <w:rsid w:val="001D0EFA"/>
    <w:rsid w:val="001E278E"/>
    <w:rsid w:val="00205E54"/>
    <w:rsid w:val="002219C7"/>
    <w:rsid w:val="00231AAC"/>
    <w:rsid w:val="00232287"/>
    <w:rsid w:val="00241EDF"/>
    <w:rsid w:val="00250E08"/>
    <w:rsid w:val="00250ED1"/>
    <w:rsid w:val="00251F55"/>
    <w:rsid w:val="002548CD"/>
    <w:rsid w:val="00261575"/>
    <w:rsid w:val="0026565E"/>
    <w:rsid w:val="00267727"/>
    <w:rsid w:val="002726A8"/>
    <w:rsid w:val="002731CE"/>
    <w:rsid w:val="00275748"/>
    <w:rsid w:val="002803B7"/>
    <w:rsid w:val="00285218"/>
    <w:rsid w:val="002876B4"/>
    <w:rsid w:val="0029291E"/>
    <w:rsid w:val="002A41B8"/>
    <w:rsid w:val="002A6AC1"/>
    <w:rsid w:val="002A76E9"/>
    <w:rsid w:val="002B1359"/>
    <w:rsid w:val="002B14B3"/>
    <w:rsid w:val="002C3D1A"/>
    <w:rsid w:val="002C574F"/>
    <w:rsid w:val="002D691C"/>
    <w:rsid w:val="002E0DC5"/>
    <w:rsid w:val="002F46D0"/>
    <w:rsid w:val="00305ABE"/>
    <w:rsid w:val="00314CBF"/>
    <w:rsid w:val="003277AE"/>
    <w:rsid w:val="003356E1"/>
    <w:rsid w:val="003358AE"/>
    <w:rsid w:val="003443ED"/>
    <w:rsid w:val="00350A8B"/>
    <w:rsid w:val="0035761B"/>
    <w:rsid w:val="00362F80"/>
    <w:rsid w:val="00363268"/>
    <w:rsid w:val="003740A1"/>
    <w:rsid w:val="00375ED6"/>
    <w:rsid w:val="00386758"/>
    <w:rsid w:val="00386A32"/>
    <w:rsid w:val="003874E7"/>
    <w:rsid w:val="00387EC3"/>
    <w:rsid w:val="003919B6"/>
    <w:rsid w:val="00393454"/>
    <w:rsid w:val="003A4BAE"/>
    <w:rsid w:val="003B3BBB"/>
    <w:rsid w:val="003B4426"/>
    <w:rsid w:val="003B5BC2"/>
    <w:rsid w:val="003C032D"/>
    <w:rsid w:val="003C3FAD"/>
    <w:rsid w:val="003C4F21"/>
    <w:rsid w:val="003C57FA"/>
    <w:rsid w:val="003C60CD"/>
    <w:rsid w:val="003C62DA"/>
    <w:rsid w:val="003D279C"/>
    <w:rsid w:val="003E0072"/>
    <w:rsid w:val="003E331E"/>
    <w:rsid w:val="003E45F0"/>
    <w:rsid w:val="003E6CC2"/>
    <w:rsid w:val="003F4339"/>
    <w:rsid w:val="00401790"/>
    <w:rsid w:val="00407AC9"/>
    <w:rsid w:val="00407CB6"/>
    <w:rsid w:val="004127B6"/>
    <w:rsid w:val="0042054A"/>
    <w:rsid w:val="00421387"/>
    <w:rsid w:val="0042571E"/>
    <w:rsid w:val="00427E6F"/>
    <w:rsid w:val="0044282A"/>
    <w:rsid w:val="0044398F"/>
    <w:rsid w:val="00455EC2"/>
    <w:rsid w:val="0046323F"/>
    <w:rsid w:val="0046564F"/>
    <w:rsid w:val="00470C69"/>
    <w:rsid w:val="00472B02"/>
    <w:rsid w:val="00476612"/>
    <w:rsid w:val="00477326"/>
    <w:rsid w:val="004833FA"/>
    <w:rsid w:val="004C0E73"/>
    <w:rsid w:val="004C2B1F"/>
    <w:rsid w:val="004C5E1C"/>
    <w:rsid w:val="004D6332"/>
    <w:rsid w:val="004E1E96"/>
    <w:rsid w:val="004E5214"/>
    <w:rsid w:val="00507360"/>
    <w:rsid w:val="00513775"/>
    <w:rsid w:val="005147D3"/>
    <w:rsid w:val="00515244"/>
    <w:rsid w:val="00516883"/>
    <w:rsid w:val="005216D2"/>
    <w:rsid w:val="005232E0"/>
    <w:rsid w:val="005248F2"/>
    <w:rsid w:val="00535B0E"/>
    <w:rsid w:val="00537979"/>
    <w:rsid w:val="00541330"/>
    <w:rsid w:val="00545CE1"/>
    <w:rsid w:val="00546FF3"/>
    <w:rsid w:val="00547CDA"/>
    <w:rsid w:val="00552904"/>
    <w:rsid w:val="00562748"/>
    <w:rsid w:val="00572CE4"/>
    <w:rsid w:val="00574D00"/>
    <w:rsid w:val="00575967"/>
    <w:rsid w:val="005765AE"/>
    <w:rsid w:val="00582750"/>
    <w:rsid w:val="005833EA"/>
    <w:rsid w:val="005A4BEF"/>
    <w:rsid w:val="005B03E4"/>
    <w:rsid w:val="005B76C7"/>
    <w:rsid w:val="005C01FE"/>
    <w:rsid w:val="005E4E48"/>
    <w:rsid w:val="005F0660"/>
    <w:rsid w:val="005F4AC2"/>
    <w:rsid w:val="005F4AD2"/>
    <w:rsid w:val="005F4C53"/>
    <w:rsid w:val="006024DA"/>
    <w:rsid w:val="00610DAC"/>
    <w:rsid w:val="00624C62"/>
    <w:rsid w:val="00646BB6"/>
    <w:rsid w:val="006537FD"/>
    <w:rsid w:val="00663FA4"/>
    <w:rsid w:val="00671011"/>
    <w:rsid w:val="00674F8C"/>
    <w:rsid w:val="00680499"/>
    <w:rsid w:val="00684A75"/>
    <w:rsid w:val="0069685F"/>
    <w:rsid w:val="006B1669"/>
    <w:rsid w:val="006B253A"/>
    <w:rsid w:val="006B3B94"/>
    <w:rsid w:val="006B6636"/>
    <w:rsid w:val="006D12BC"/>
    <w:rsid w:val="00710D13"/>
    <w:rsid w:val="00721D42"/>
    <w:rsid w:val="007321CB"/>
    <w:rsid w:val="00732DE1"/>
    <w:rsid w:val="007404D6"/>
    <w:rsid w:val="007562D1"/>
    <w:rsid w:val="00770100"/>
    <w:rsid w:val="0077020B"/>
    <w:rsid w:val="00793A94"/>
    <w:rsid w:val="007A1493"/>
    <w:rsid w:val="007A6549"/>
    <w:rsid w:val="007B4E05"/>
    <w:rsid w:val="007D24AC"/>
    <w:rsid w:val="007D2A75"/>
    <w:rsid w:val="007D3D04"/>
    <w:rsid w:val="007D607A"/>
    <w:rsid w:val="007E2A5C"/>
    <w:rsid w:val="007E7400"/>
    <w:rsid w:val="007F3CB4"/>
    <w:rsid w:val="007F5357"/>
    <w:rsid w:val="008002BD"/>
    <w:rsid w:val="008026C9"/>
    <w:rsid w:val="0080783E"/>
    <w:rsid w:val="00816215"/>
    <w:rsid w:val="00821843"/>
    <w:rsid w:val="00825155"/>
    <w:rsid w:val="0082547C"/>
    <w:rsid w:val="0083343E"/>
    <w:rsid w:val="00837192"/>
    <w:rsid w:val="00842F45"/>
    <w:rsid w:val="008451C0"/>
    <w:rsid w:val="008465D0"/>
    <w:rsid w:val="00862EB0"/>
    <w:rsid w:val="00863726"/>
    <w:rsid w:val="00864789"/>
    <w:rsid w:val="00871070"/>
    <w:rsid w:val="00872DBB"/>
    <w:rsid w:val="0088702D"/>
    <w:rsid w:val="0089255F"/>
    <w:rsid w:val="00896A0B"/>
    <w:rsid w:val="008977BF"/>
    <w:rsid w:val="008A2D8C"/>
    <w:rsid w:val="008A4319"/>
    <w:rsid w:val="008A7917"/>
    <w:rsid w:val="008B7151"/>
    <w:rsid w:val="008B7581"/>
    <w:rsid w:val="008C37B3"/>
    <w:rsid w:val="008C4118"/>
    <w:rsid w:val="008D2467"/>
    <w:rsid w:val="008E3068"/>
    <w:rsid w:val="008F0E6F"/>
    <w:rsid w:val="008F7D2E"/>
    <w:rsid w:val="009027F4"/>
    <w:rsid w:val="009031FE"/>
    <w:rsid w:val="00903801"/>
    <w:rsid w:val="0090467F"/>
    <w:rsid w:val="009142B3"/>
    <w:rsid w:val="00925F43"/>
    <w:rsid w:val="009351E5"/>
    <w:rsid w:val="00942A38"/>
    <w:rsid w:val="00943567"/>
    <w:rsid w:val="00945907"/>
    <w:rsid w:val="0095334F"/>
    <w:rsid w:val="0095345B"/>
    <w:rsid w:val="0095393D"/>
    <w:rsid w:val="00953DB6"/>
    <w:rsid w:val="0095408C"/>
    <w:rsid w:val="00955C18"/>
    <w:rsid w:val="00964C6F"/>
    <w:rsid w:val="00965C88"/>
    <w:rsid w:val="0097396E"/>
    <w:rsid w:val="00973D42"/>
    <w:rsid w:val="00974EBE"/>
    <w:rsid w:val="00984334"/>
    <w:rsid w:val="009A4213"/>
    <w:rsid w:val="009A7A61"/>
    <w:rsid w:val="009C2BF5"/>
    <w:rsid w:val="009C6079"/>
    <w:rsid w:val="009D0BF0"/>
    <w:rsid w:val="009D4D76"/>
    <w:rsid w:val="009E2B84"/>
    <w:rsid w:val="009E5467"/>
    <w:rsid w:val="009F0A59"/>
    <w:rsid w:val="009F30D1"/>
    <w:rsid w:val="00A206F1"/>
    <w:rsid w:val="00A24F5B"/>
    <w:rsid w:val="00A255BB"/>
    <w:rsid w:val="00A25B47"/>
    <w:rsid w:val="00A270B1"/>
    <w:rsid w:val="00A3016D"/>
    <w:rsid w:val="00A42959"/>
    <w:rsid w:val="00A5247E"/>
    <w:rsid w:val="00A6018B"/>
    <w:rsid w:val="00A623F4"/>
    <w:rsid w:val="00A96B21"/>
    <w:rsid w:val="00AA01ED"/>
    <w:rsid w:val="00AA3E25"/>
    <w:rsid w:val="00AA5E9D"/>
    <w:rsid w:val="00AA61FF"/>
    <w:rsid w:val="00AB2235"/>
    <w:rsid w:val="00AB251A"/>
    <w:rsid w:val="00AB3B79"/>
    <w:rsid w:val="00AC2C57"/>
    <w:rsid w:val="00AC4CC1"/>
    <w:rsid w:val="00AD2936"/>
    <w:rsid w:val="00AD4721"/>
    <w:rsid w:val="00AD6F0C"/>
    <w:rsid w:val="00AD7599"/>
    <w:rsid w:val="00AE0C7C"/>
    <w:rsid w:val="00B16A00"/>
    <w:rsid w:val="00B27F9D"/>
    <w:rsid w:val="00B340D4"/>
    <w:rsid w:val="00B355FE"/>
    <w:rsid w:val="00B50C48"/>
    <w:rsid w:val="00B5415C"/>
    <w:rsid w:val="00B608C1"/>
    <w:rsid w:val="00B625B9"/>
    <w:rsid w:val="00B642BF"/>
    <w:rsid w:val="00B66693"/>
    <w:rsid w:val="00B66F91"/>
    <w:rsid w:val="00B729D4"/>
    <w:rsid w:val="00B74890"/>
    <w:rsid w:val="00B74D0D"/>
    <w:rsid w:val="00B76A96"/>
    <w:rsid w:val="00B84347"/>
    <w:rsid w:val="00B86EFE"/>
    <w:rsid w:val="00B87593"/>
    <w:rsid w:val="00B9521B"/>
    <w:rsid w:val="00B96E3A"/>
    <w:rsid w:val="00BA2AA7"/>
    <w:rsid w:val="00BB679F"/>
    <w:rsid w:val="00BC1252"/>
    <w:rsid w:val="00BD424F"/>
    <w:rsid w:val="00BE3BF7"/>
    <w:rsid w:val="00BE3FE1"/>
    <w:rsid w:val="00BE54A2"/>
    <w:rsid w:val="00BF0273"/>
    <w:rsid w:val="00C06B9F"/>
    <w:rsid w:val="00C06BDD"/>
    <w:rsid w:val="00C10183"/>
    <w:rsid w:val="00C121BF"/>
    <w:rsid w:val="00C16510"/>
    <w:rsid w:val="00C173ED"/>
    <w:rsid w:val="00C22D3B"/>
    <w:rsid w:val="00C23B3E"/>
    <w:rsid w:val="00C23C4F"/>
    <w:rsid w:val="00C25BEB"/>
    <w:rsid w:val="00C307F6"/>
    <w:rsid w:val="00C364EC"/>
    <w:rsid w:val="00C415DA"/>
    <w:rsid w:val="00C4400A"/>
    <w:rsid w:val="00C45EAF"/>
    <w:rsid w:val="00C52C94"/>
    <w:rsid w:val="00C54C29"/>
    <w:rsid w:val="00C600D0"/>
    <w:rsid w:val="00C634EA"/>
    <w:rsid w:val="00C91923"/>
    <w:rsid w:val="00C940A0"/>
    <w:rsid w:val="00C9792A"/>
    <w:rsid w:val="00CA39CC"/>
    <w:rsid w:val="00CA407A"/>
    <w:rsid w:val="00CA6F85"/>
    <w:rsid w:val="00CB0664"/>
    <w:rsid w:val="00CB0F96"/>
    <w:rsid w:val="00CB28F8"/>
    <w:rsid w:val="00CB34D4"/>
    <w:rsid w:val="00CB7C2D"/>
    <w:rsid w:val="00CC3B73"/>
    <w:rsid w:val="00CD4013"/>
    <w:rsid w:val="00CE03E9"/>
    <w:rsid w:val="00CE625A"/>
    <w:rsid w:val="00D04FA2"/>
    <w:rsid w:val="00D33A8C"/>
    <w:rsid w:val="00D41CE7"/>
    <w:rsid w:val="00D533ED"/>
    <w:rsid w:val="00D57015"/>
    <w:rsid w:val="00D62659"/>
    <w:rsid w:val="00D6499B"/>
    <w:rsid w:val="00D8155B"/>
    <w:rsid w:val="00D91AF6"/>
    <w:rsid w:val="00D91F70"/>
    <w:rsid w:val="00D96B11"/>
    <w:rsid w:val="00DA0D99"/>
    <w:rsid w:val="00DA2EC9"/>
    <w:rsid w:val="00DB028B"/>
    <w:rsid w:val="00DC271D"/>
    <w:rsid w:val="00DC6670"/>
    <w:rsid w:val="00DD0352"/>
    <w:rsid w:val="00DD0A5E"/>
    <w:rsid w:val="00DD145D"/>
    <w:rsid w:val="00DD14C6"/>
    <w:rsid w:val="00DD16F7"/>
    <w:rsid w:val="00DD5580"/>
    <w:rsid w:val="00DE0E72"/>
    <w:rsid w:val="00E05920"/>
    <w:rsid w:val="00E075D9"/>
    <w:rsid w:val="00E13838"/>
    <w:rsid w:val="00E1560D"/>
    <w:rsid w:val="00E163E3"/>
    <w:rsid w:val="00E21071"/>
    <w:rsid w:val="00E24360"/>
    <w:rsid w:val="00E25BA2"/>
    <w:rsid w:val="00E33E0B"/>
    <w:rsid w:val="00E34E93"/>
    <w:rsid w:val="00E40911"/>
    <w:rsid w:val="00E54D94"/>
    <w:rsid w:val="00E5524C"/>
    <w:rsid w:val="00E556DE"/>
    <w:rsid w:val="00E639C5"/>
    <w:rsid w:val="00E66F56"/>
    <w:rsid w:val="00E86BC6"/>
    <w:rsid w:val="00E90E69"/>
    <w:rsid w:val="00EA04E8"/>
    <w:rsid w:val="00EA0E38"/>
    <w:rsid w:val="00EB1B08"/>
    <w:rsid w:val="00EB34A7"/>
    <w:rsid w:val="00EB374D"/>
    <w:rsid w:val="00EB443B"/>
    <w:rsid w:val="00EC193B"/>
    <w:rsid w:val="00EC7B2B"/>
    <w:rsid w:val="00ED5AB2"/>
    <w:rsid w:val="00EF69D7"/>
    <w:rsid w:val="00F053F7"/>
    <w:rsid w:val="00F121BA"/>
    <w:rsid w:val="00F14795"/>
    <w:rsid w:val="00F20F57"/>
    <w:rsid w:val="00F21CE8"/>
    <w:rsid w:val="00F26089"/>
    <w:rsid w:val="00F2762B"/>
    <w:rsid w:val="00F3061E"/>
    <w:rsid w:val="00F30A41"/>
    <w:rsid w:val="00F30B11"/>
    <w:rsid w:val="00F4162C"/>
    <w:rsid w:val="00F45E5A"/>
    <w:rsid w:val="00F472F9"/>
    <w:rsid w:val="00F504B1"/>
    <w:rsid w:val="00F515BC"/>
    <w:rsid w:val="00F57E34"/>
    <w:rsid w:val="00F64111"/>
    <w:rsid w:val="00F6486D"/>
    <w:rsid w:val="00F86170"/>
    <w:rsid w:val="00F87594"/>
    <w:rsid w:val="00F94272"/>
    <w:rsid w:val="00FC2576"/>
    <w:rsid w:val="00FE00A6"/>
    <w:rsid w:val="00FE0139"/>
    <w:rsid w:val="00FF41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E73"/>
    <w:pPr>
      <w:widowControl w:val="0"/>
      <w:jc w:val="both"/>
    </w:pPr>
    <w:rPr>
      <w:rFonts w:ascii="Calibri" w:eastAsia="宋体" w:hAnsi="Calibri" w:cs="Times New Roman"/>
      <w:szCs w:val="24"/>
    </w:rPr>
  </w:style>
  <w:style w:type="paragraph" w:styleId="1">
    <w:name w:val="heading 1"/>
    <w:basedOn w:val="a"/>
    <w:next w:val="a"/>
    <w:link w:val="1Char"/>
    <w:qFormat/>
    <w:rsid w:val="00D62659"/>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0E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C0E73"/>
    <w:rPr>
      <w:sz w:val="18"/>
      <w:szCs w:val="18"/>
    </w:rPr>
  </w:style>
  <w:style w:type="paragraph" w:styleId="a4">
    <w:name w:val="footer"/>
    <w:basedOn w:val="a"/>
    <w:link w:val="Char0"/>
    <w:uiPriority w:val="99"/>
    <w:unhideWhenUsed/>
    <w:rsid w:val="004C0E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C0E73"/>
    <w:rPr>
      <w:sz w:val="18"/>
      <w:szCs w:val="18"/>
    </w:rPr>
  </w:style>
  <w:style w:type="character" w:customStyle="1" w:styleId="1Char">
    <w:name w:val="标题 1 Char"/>
    <w:basedOn w:val="a0"/>
    <w:link w:val="1"/>
    <w:rsid w:val="00D62659"/>
    <w:rPr>
      <w:rFonts w:ascii="Calibri" w:eastAsia="宋体" w:hAnsi="Calibri" w:cs="Times New Roman"/>
      <w:b/>
      <w:kern w:val="44"/>
      <w:sz w:val="44"/>
      <w:szCs w:val="24"/>
    </w:rPr>
  </w:style>
  <w:style w:type="paragraph" w:styleId="a5">
    <w:name w:val="List Paragraph"/>
    <w:basedOn w:val="a"/>
    <w:uiPriority w:val="34"/>
    <w:qFormat/>
    <w:rsid w:val="00CB0664"/>
    <w:pPr>
      <w:ind w:firstLineChars="200" w:firstLine="420"/>
    </w:pPr>
    <w:rPr>
      <w:rFonts w:ascii="Times New Roman" w:hAnsi="Times New Roman"/>
      <w:szCs w:val="20"/>
    </w:rPr>
  </w:style>
  <w:style w:type="paragraph" w:styleId="a6">
    <w:name w:val="Balloon Text"/>
    <w:basedOn w:val="a"/>
    <w:link w:val="Char1"/>
    <w:uiPriority w:val="99"/>
    <w:semiHidden/>
    <w:unhideWhenUsed/>
    <w:rsid w:val="00387EC3"/>
    <w:rPr>
      <w:sz w:val="18"/>
      <w:szCs w:val="18"/>
    </w:rPr>
  </w:style>
  <w:style w:type="character" w:customStyle="1" w:styleId="Char1">
    <w:name w:val="批注框文本 Char"/>
    <w:basedOn w:val="a0"/>
    <w:link w:val="a6"/>
    <w:uiPriority w:val="99"/>
    <w:semiHidden/>
    <w:rsid w:val="00387EC3"/>
    <w:rPr>
      <w:rFonts w:ascii="Calibri" w:eastAsia="宋体" w:hAnsi="Calibri" w:cs="Times New Roman"/>
      <w:sz w:val="18"/>
      <w:szCs w:val="18"/>
    </w:rPr>
  </w:style>
  <w:style w:type="paragraph" w:styleId="a7">
    <w:name w:val="Normal (Web)"/>
    <w:basedOn w:val="a"/>
    <w:uiPriority w:val="99"/>
    <w:semiHidden/>
    <w:unhideWhenUsed/>
    <w:rsid w:val="00E54D94"/>
    <w:pPr>
      <w:widowControl/>
      <w:spacing w:after="150"/>
      <w:jc w:val="left"/>
    </w:pPr>
    <w:rPr>
      <w:rFonts w:ascii="宋体" w:hAnsi="宋体" w:cs="宋体"/>
      <w:kern w:val="0"/>
      <w:sz w:val="24"/>
    </w:rPr>
  </w:style>
  <w:style w:type="paragraph" w:styleId="a8">
    <w:name w:val="Date"/>
    <w:basedOn w:val="a"/>
    <w:next w:val="a"/>
    <w:link w:val="Char2"/>
    <w:uiPriority w:val="99"/>
    <w:semiHidden/>
    <w:unhideWhenUsed/>
    <w:rsid w:val="005B76C7"/>
    <w:pPr>
      <w:ind w:leftChars="2500" w:left="100"/>
    </w:pPr>
  </w:style>
  <w:style w:type="character" w:customStyle="1" w:styleId="Char2">
    <w:name w:val="日期 Char"/>
    <w:basedOn w:val="a0"/>
    <w:link w:val="a8"/>
    <w:uiPriority w:val="99"/>
    <w:semiHidden/>
    <w:rsid w:val="005B76C7"/>
    <w:rPr>
      <w:rFonts w:ascii="Calibri" w:eastAsia="宋体" w:hAnsi="Calibri" w:cs="Times New Roman"/>
      <w:szCs w:val="24"/>
    </w:rPr>
  </w:style>
  <w:style w:type="paragraph" w:styleId="a9">
    <w:name w:val="footnote text"/>
    <w:basedOn w:val="a"/>
    <w:link w:val="Char3"/>
    <w:uiPriority w:val="99"/>
    <w:semiHidden/>
    <w:unhideWhenUsed/>
    <w:rsid w:val="000330F8"/>
    <w:pPr>
      <w:snapToGrid w:val="0"/>
      <w:jc w:val="left"/>
    </w:pPr>
    <w:rPr>
      <w:sz w:val="18"/>
      <w:szCs w:val="18"/>
    </w:rPr>
  </w:style>
  <w:style w:type="character" w:customStyle="1" w:styleId="Char3">
    <w:name w:val="脚注文本 Char"/>
    <w:basedOn w:val="a0"/>
    <w:link w:val="a9"/>
    <w:uiPriority w:val="99"/>
    <w:semiHidden/>
    <w:rsid w:val="000330F8"/>
    <w:rPr>
      <w:rFonts w:ascii="Calibri" w:eastAsia="宋体" w:hAnsi="Calibri" w:cs="Times New Roman"/>
      <w:sz w:val="18"/>
      <w:szCs w:val="18"/>
    </w:rPr>
  </w:style>
  <w:style w:type="character" w:styleId="aa">
    <w:name w:val="footnote reference"/>
    <w:basedOn w:val="a0"/>
    <w:uiPriority w:val="99"/>
    <w:semiHidden/>
    <w:unhideWhenUsed/>
    <w:rsid w:val="000330F8"/>
    <w:rPr>
      <w:vertAlign w:val="superscript"/>
    </w:rPr>
  </w:style>
  <w:style w:type="character" w:styleId="ab">
    <w:name w:val="Hyperlink"/>
    <w:basedOn w:val="a0"/>
    <w:uiPriority w:val="99"/>
    <w:unhideWhenUsed/>
    <w:rsid w:val="00F260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E73"/>
    <w:pPr>
      <w:widowControl w:val="0"/>
      <w:jc w:val="both"/>
    </w:pPr>
    <w:rPr>
      <w:rFonts w:ascii="Calibri" w:eastAsia="宋体" w:hAnsi="Calibri" w:cs="Times New Roman"/>
      <w:szCs w:val="24"/>
    </w:rPr>
  </w:style>
  <w:style w:type="paragraph" w:styleId="1">
    <w:name w:val="heading 1"/>
    <w:basedOn w:val="a"/>
    <w:next w:val="a"/>
    <w:link w:val="1Char"/>
    <w:qFormat/>
    <w:rsid w:val="00D62659"/>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0E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C0E73"/>
    <w:rPr>
      <w:sz w:val="18"/>
      <w:szCs w:val="18"/>
    </w:rPr>
  </w:style>
  <w:style w:type="paragraph" w:styleId="a4">
    <w:name w:val="footer"/>
    <w:basedOn w:val="a"/>
    <w:link w:val="Char0"/>
    <w:uiPriority w:val="99"/>
    <w:unhideWhenUsed/>
    <w:rsid w:val="004C0E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C0E73"/>
    <w:rPr>
      <w:sz w:val="18"/>
      <w:szCs w:val="18"/>
    </w:rPr>
  </w:style>
  <w:style w:type="character" w:customStyle="1" w:styleId="1Char">
    <w:name w:val="标题 1 Char"/>
    <w:basedOn w:val="a0"/>
    <w:link w:val="1"/>
    <w:rsid w:val="00D62659"/>
    <w:rPr>
      <w:rFonts w:ascii="Calibri" w:eastAsia="宋体" w:hAnsi="Calibri" w:cs="Times New Roman"/>
      <w:b/>
      <w:kern w:val="44"/>
      <w:sz w:val="44"/>
      <w:szCs w:val="24"/>
    </w:rPr>
  </w:style>
  <w:style w:type="paragraph" w:styleId="a5">
    <w:name w:val="List Paragraph"/>
    <w:basedOn w:val="a"/>
    <w:uiPriority w:val="34"/>
    <w:qFormat/>
    <w:rsid w:val="00CB0664"/>
    <w:pPr>
      <w:ind w:firstLineChars="200" w:firstLine="420"/>
    </w:pPr>
    <w:rPr>
      <w:rFonts w:ascii="Times New Roman" w:hAnsi="Times New Roman"/>
      <w:szCs w:val="20"/>
    </w:rPr>
  </w:style>
  <w:style w:type="paragraph" w:styleId="a6">
    <w:name w:val="Balloon Text"/>
    <w:basedOn w:val="a"/>
    <w:link w:val="Char1"/>
    <w:uiPriority w:val="99"/>
    <w:semiHidden/>
    <w:unhideWhenUsed/>
    <w:rsid w:val="00387EC3"/>
    <w:rPr>
      <w:sz w:val="18"/>
      <w:szCs w:val="18"/>
    </w:rPr>
  </w:style>
  <w:style w:type="character" w:customStyle="1" w:styleId="Char1">
    <w:name w:val="批注框文本 Char"/>
    <w:basedOn w:val="a0"/>
    <w:link w:val="a6"/>
    <w:uiPriority w:val="99"/>
    <w:semiHidden/>
    <w:rsid w:val="00387EC3"/>
    <w:rPr>
      <w:rFonts w:ascii="Calibri" w:eastAsia="宋体" w:hAnsi="Calibri" w:cs="Times New Roman"/>
      <w:sz w:val="18"/>
      <w:szCs w:val="18"/>
    </w:rPr>
  </w:style>
  <w:style w:type="paragraph" w:styleId="a7">
    <w:name w:val="Normal (Web)"/>
    <w:basedOn w:val="a"/>
    <w:uiPriority w:val="99"/>
    <w:semiHidden/>
    <w:unhideWhenUsed/>
    <w:rsid w:val="00E54D94"/>
    <w:pPr>
      <w:widowControl/>
      <w:spacing w:after="150"/>
      <w:jc w:val="left"/>
    </w:pPr>
    <w:rPr>
      <w:rFonts w:ascii="宋体" w:hAnsi="宋体" w:cs="宋体"/>
      <w:kern w:val="0"/>
      <w:sz w:val="24"/>
    </w:rPr>
  </w:style>
  <w:style w:type="paragraph" w:styleId="a8">
    <w:name w:val="Date"/>
    <w:basedOn w:val="a"/>
    <w:next w:val="a"/>
    <w:link w:val="Char2"/>
    <w:uiPriority w:val="99"/>
    <w:semiHidden/>
    <w:unhideWhenUsed/>
    <w:rsid w:val="005B76C7"/>
    <w:pPr>
      <w:ind w:leftChars="2500" w:left="100"/>
    </w:pPr>
  </w:style>
  <w:style w:type="character" w:customStyle="1" w:styleId="Char2">
    <w:name w:val="日期 Char"/>
    <w:basedOn w:val="a0"/>
    <w:link w:val="a8"/>
    <w:uiPriority w:val="99"/>
    <w:semiHidden/>
    <w:rsid w:val="005B76C7"/>
    <w:rPr>
      <w:rFonts w:ascii="Calibri" w:eastAsia="宋体" w:hAnsi="Calibri" w:cs="Times New Roman"/>
      <w:szCs w:val="24"/>
    </w:rPr>
  </w:style>
  <w:style w:type="paragraph" w:styleId="a9">
    <w:name w:val="footnote text"/>
    <w:basedOn w:val="a"/>
    <w:link w:val="Char3"/>
    <w:uiPriority w:val="99"/>
    <w:semiHidden/>
    <w:unhideWhenUsed/>
    <w:rsid w:val="000330F8"/>
    <w:pPr>
      <w:snapToGrid w:val="0"/>
      <w:jc w:val="left"/>
    </w:pPr>
    <w:rPr>
      <w:sz w:val="18"/>
      <w:szCs w:val="18"/>
    </w:rPr>
  </w:style>
  <w:style w:type="character" w:customStyle="1" w:styleId="Char3">
    <w:name w:val="脚注文本 Char"/>
    <w:basedOn w:val="a0"/>
    <w:link w:val="a9"/>
    <w:uiPriority w:val="99"/>
    <w:semiHidden/>
    <w:rsid w:val="000330F8"/>
    <w:rPr>
      <w:rFonts w:ascii="Calibri" w:eastAsia="宋体" w:hAnsi="Calibri" w:cs="Times New Roman"/>
      <w:sz w:val="18"/>
      <w:szCs w:val="18"/>
    </w:rPr>
  </w:style>
  <w:style w:type="character" w:styleId="aa">
    <w:name w:val="footnote reference"/>
    <w:basedOn w:val="a0"/>
    <w:uiPriority w:val="99"/>
    <w:semiHidden/>
    <w:unhideWhenUsed/>
    <w:rsid w:val="000330F8"/>
    <w:rPr>
      <w:vertAlign w:val="superscript"/>
    </w:rPr>
  </w:style>
  <w:style w:type="character" w:styleId="ab">
    <w:name w:val="Hyperlink"/>
    <w:basedOn w:val="a0"/>
    <w:uiPriority w:val="99"/>
    <w:unhideWhenUsed/>
    <w:rsid w:val="00F260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74749">
      <w:bodyDiv w:val="1"/>
      <w:marLeft w:val="0"/>
      <w:marRight w:val="0"/>
      <w:marTop w:val="0"/>
      <w:marBottom w:val="0"/>
      <w:divBdr>
        <w:top w:val="none" w:sz="0" w:space="0" w:color="auto"/>
        <w:left w:val="none" w:sz="0" w:space="0" w:color="auto"/>
        <w:bottom w:val="none" w:sz="0" w:space="0" w:color="auto"/>
        <w:right w:val="none" w:sz="0" w:space="0" w:color="auto"/>
      </w:divBdr>
    </w:div>
    <w:div w:id="400447259">
      <w:bodyDiv w:val="1"/>
      <w:marLeft w:val="0"/>
      <w:marRight w:val="0"/>
      <w:marTop w:val="0"/>
      <w:marBottom w:val="0"/>
      <w:divBdr>
        <w:top w:val="none" w:sz="0" w:space="0" w:color="auto"/>
        <w:left w:val="none" w:sz="0" w:space="0" w:color="auto"/>
        <w:bottom w:val="none" w:sz="0" w:space="0" w:color="auto"/>
        <w:right w:val="none" w:sz="0" w:space="0" w:color="auto"/>
      </w:divBdr>
      <w:divsChild>
        <w:div w:id="1440369903">
          <w:marLeft w:val="0"/>
          <w:marRight w:val="0"/>
          <w:marTop w:val="0"/>
          <w:marBottom w:val="0"/>
          <w:divBdr>
            <w:top w:val="none" w:sz="0" w:space="0" w:color="auto"/>
            <w:left w:val="none" w:sz="0" w:space="0" w:color="auto"/>
            <w:bottom w:val="none" w:sz="0" w:space="0" w:color="auto"/>
            <w:right w:val="none" w:sz="0" w:space="0" w:color="auto"/>
          </w:divBdr>
          <w:divsChild>
            <w:div w:id="743525917">
              <w:marLeft w:val="0"/>
              <w:marRight w:val="0"/>
              <w:marTop w:val="0"/>
              <w:marBottom w:val="0"/>
              <w:divBdr>
                <w:top w:val="none" w:sz="0" w:space="0" w:color="auto"/>
                <w:left w:val="none" w:sz="0" w:space="0" w:color="auto"/>
                <w:bottom w:val="none" w:sz="0" w:space="0" w:color="auto"/>
                <w:right w:val="none" w:sz="0" w:space="0" w:color="auto"/>
              </w:divBdr>
              <w:divsChild>
                <w:div w:id="51933698">
                  <w:marLeft w:val="0"/>
                  <w:marRight w:val="0"/>
                  <w:marTop w:val="0"/>
                  <w:marBottom w:val="0"/>
                  <w:divBdr>
                    <w:top w:val="none" w:sz="0" w:space="0" w:color="auto"/>
                    <w:left w:val="none" w:sz="0" w:space="0" w:color="auto"/>
                    <w:bottom w:val="none" w:sz="0" w:space="0" w:color="auto"/>
                    <w:right w:val="none" w:sz="0" w:space="0" w:color="auto"/>
                  </w:divBdr>
                  <w:divsChild>
                    <w:div w:id="2085033208">
                      <w:marLeft w:val="0"/>
                      <w:marRight w:val="0"/>
                      <w:marTop w:val="0"/>
                      <w:marBottom w:val="0"/>
                      <w:divBdr>
                        <w:top w:val="single" w:sz="6" w:space="15" w:color="EBEBEB"/>
                        <w:left w:val="single" w:sz="6" w:space="15" w:color="EBEBEB"/>
                        <w:bottom w:val="single" w:sz="6" w:space="8" w:color="EBEBEB"/>
                        <w:right w:val="single" w:sz="6" w:space="15" w:color="EBEBEB"/>
                      </w:divBdr>
                    </w:div>
                  </w:divsChild>
                </w:div>
              </w:divsChild>
            </w:div>
          </w:divsChild>
        </w:div>
      </w:divsChild>
    </w:div>
    <w:div w:id="4406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A34E9-58E4-44A9-8CAC-264645EA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457</Words>
  <Characters>2610</Characters>
  <Application>Microsoft Office Word</Application>
  <DocSecurity>0</DocSecurity>
  <Lines>21</Lines>
  <Paragraphs>6</Paragraphs>
  <ScaleCrop>false</ScaleCrop>
  <Company>Microsoft</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朱雨虹</cp:lastModifiedBy>
  <cp:revision>4</cp:revision>
  <cp:lastPrinted>2021-06-16T06:10:00Z</cp:lastPrinted>
  <dcterms:created xsi:type="dcterms:W3CDTF">2021-06-17T07:36:00Z</dcterms:created>
  <dcterms:modified xsi:type="dcterms:W3CDTF">2021-06-17T07:45:00Z</dcterms:modified>
</cp:coreProperties>
</file>