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0F" w:rsidRDefault="0064120F" w:rsidP="0064120F">
      <w:pPr>
        <w:jc w:val="center"/>
        <w:rPr>
          <w:rFonts w:ascii="仿宋" w:eastAsia="仿宋" w:hAnsi="仿宋"/>
          <w:color w:val="000000" w:themeColor="text1"/>
          <w:sz w:val="30"/>
          <w:szCs w:val="30"/>
        </w:rPr>
      </w:pPr>
    </w:p>
    <w:p w:rsidR="00C80628" w:rsidRDefault="0064120F" w:rsidP="0064120F">
      <w:pPr>
        <w:jc w:val="center"/>
        <w:rPr>
          <w:rFonts w:ascii="华文中宋" w:eastAsia="华文中宋" w:hAnsi="华文中宋"/>
          <w:color w:val="000000" w:themeColor="text1"/>
          <w:szCs w:val="30"/>
        </w:rPr>
      </w:pPr>
      <w:r w:rsidRPr="0064120F">
        <w:rPr>
          <w:rFonts w:ascii="华文中宋" w:eastAsia="华文中宋" w:hAnsi="华文中宋" w:hint="eastAsia"/>
          <w:color w:val="000000" w:themeColor="text1"/>
          <w:szCs w:val="30"/>
        </w:rPr>
        <w:t>202</w:t>
      </w:r>
      <w:r w:rsidR="00D75CEE">
        <w:rPr>
          <w:rFonts w:ascii="华文中宋" w:eastAsia="华文中宋" w:hAnsi="华文中宋" w:hint="eastAsia"/>
          <w:color w:val="000000" w:themeColor="text1"/>
          <w:szCs w:val="30"/>
        </w:rPr>
        <w:t>1</w:t>
      </w:r>
      <w:r w:rsidRPr="0064120F">
        <w:rPr>
          <w:rFonts w:ascii="华文中宋" w:eastAsia="华文中宋" w:hAnsi="华文中宋" w:hint="eastAsia"/>
          <w:color w:val="000000" w:themeColor="text1"/>
          <w:szCs w:val="30"/>
        </w:rPr>
        <w:t>年长春新区人民法院</w:t>
      </w:r>
    </w:p>
    <w:p w:rsidR="0064120F" w:rsidRPr="0064120F" w:rsidRDefault="0064120F" w:rsidP="0064120F">
      <w:pPr>
        <w:jc w:val="center"/>
        <w:rPr>
          <w:rFonts w:ascii="华文中宋" w:eastAsia="华文中宋" w:hAnsi="华文中宋"/>
          <w:color w:val="000000" w:themeColor="text1"/>
          <w:szCs w:val="30"/>
        </w:rPr>
      </w:pPr>
      <w:r w:rsidRPr="0064120F">
        <w:rPr>
          <w:rFonts w:ascii="华文中宋" w:eastAsia="华文中宋" w:hAnsi="华文中宋" w:hint="eastAsia"/>
          <w:color w:val="000000" w:themeColor="text1"/>
          <w:szCs w:val="30"/>
        </w:rPr>
        <w:t>院庭长审判监督管理权落实情况</w:t>
      </w:r>
    </w:p>
    <w:p w:rsidR="0064120F" w:rsidRPr="00C80628" w:rsidRDefault="0064120F" w:rsidP="0064120F">
      <w:pPr>
        <w:ind w:firstLineChars="200" w:firstLine="600"/>
        <w:rPr>
          <w:rFonts w:ascii="仿宋" w:eastAsia="仿宋" w:hAnsi="仿宋"/>
          <w:color w:val="000000" w:themeColor="text1"/>
          <w:sz w:val="30"/>
          <w:szCs w:val="30"/>
        </w:rPr>
      </w:pPr>
    </w:p>
    <w:p w:rsidR="0064120F" w:rsidRDefault="0064120F" w:rsidP="0064120F">
      <w:pPr>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省院</w:t>
      </w:r>
      <w:r w:rsidR="002F7611">
        <w:rPr>
          <w:rFonts w:ascii="仿宋" w:eastAsia="仿宋" w:hAnsi="仿宋" w:hint="eastAsia"/>
          <w:color w:val="000000" w:themeColor="text1"/>
          <w:sz w:val="30"/>
          <w:szCs w:val="30"/>
        </w:rPr>
        <w:t>发布</w:t>
      </w:r>
      <w:r>
        <w:rPr>
          <w:rFonts w:ascii="仿宋" w:eastAsia="仿宋" w:hAnsi="仿宋" w:hint="eastAsia"/>
          <w:color w:val="000000" w:themeColor="text1"/>
          <w:sz w:val="30"/>
          <w:szCs w:val="30"/>
        </w:rPr>
        <w:t>《吉林省高级人民法院关于规范院庭长审判监督管理职责的办法（试行）》</w:t>
      </w:r>
      <w:r w:rsidR="00C4458A">
        <w:rPr>
          <w:rFonts w:ascii="仿宋" w:eastAsia="仿宋" w:hAnsi="仿宋" w:hint="eastAsia"/>
          <w:color w:val="000000" w:themeColor="text1"/>
          <w:sz w:val="30"/>
          <w:szCs w:val="30"/>
        </w:rPr>
        <w:t>后</w:t>
      </w:r>
      <w:r>
        <w:rPr>
          <w:rFonts w:ascii="仿宋" w:eastAsia="仿宋" w:hAnsi="仿宋" w:hint="eastAsia"/>
          <w:color w:val="000000" w:themeColor="text1"/>
          <w:sz w:val="30"/>
          <w:szCs w:val="30"/>
        </w:rPr>
        <w:t>，我院迅速将文件下发至各部门，遵照执行。按照办法要求，明确监管范围、发现机制、启动程序和监管方式。2019年12月，我院</w:t>
      </w:r>
      <w:r w:rsidR="00DF79A4">
        <w:rPr>
          <w:rFonts w:ascii="仿宋" w:eastAsia="仿宋" w:hAnsi="仿宋" w:hint="eastAsia"/>
          <w:color w:val="000000" w:themeColor="text1"/>
          <w:sz w:val="30"/>
          <w:szCs w:val="30"/>
        </w:rPr>
        <w:t>参照上级法院相关规定，</w:t>
      </w:r>
      <w:r>
        <w:rPr>
          <w:rFonts w:ascii="仿宋" w:eastAsia="仿宋" w:hAnsi="仿宋" w:hint="eastAsia"/>
          <w:color w:val="000000" w:themeColor="text1"/>
          <w:sz w:val="30"/>
          <w:szCs w:val="30"/>
        </w:rPr>
        <w:t>出台了《长春新区人民法院审判主体及相关司法人员职责和权限清单（试行）》</w:t>
      </w:r>
      <w:r w:rsidR="00337D0C">
        <w:rPr>
          <w:rFonts w:ascii="仿宋" w:eastAsia="仿宋" w:hAnsi="仿宋" w:hint="eastAsia"/>
          <w:color w:val="000000" w:themeColor="text1"/>
          <w:sz w:val="30"/>
          <w:szCs w:val="30"/>
        </w:rPr>
        <w:t>（以下简称“《</w:t>
      </w:r>
      <w:r w:rsidR="00AC045C">
        <w:rPr>
          <w:rFonts w:ascii="仿宋" w:eastAsia="仿宋" w:hAnsi="仿宋" w:hint="eastAsia"/>
          <w:color w:val="000000" w:themeColor="text1"/>
          <w:sz w:val="30"/>
          <w:szCs w:val="30"/>
        </w:rPr>
        <w:t>权责</w:t>
      </w:r>
      <w:r w:rsidR="00337D0C">
        <w:rPr>
          <w:rFonts w:ascii="仿宋" w:eastAsia="仿宋" w:hAnsi="仿宋" w:hint="eastAsia"/>
          <w:color w:val="000000" w:themeColor="text1"/>
          <w:sz w:val="30"/>
          <w:szCs w:val="30"/>
        </w:rPr>
        <w:t>清单》”）</w:t>
      </w:r>
      <w:r>
        <w:rPr>
          <w:rFonts w:ascii="仿宋" w:eastAsia="仿宋" w:hAnsi="仿宋" w:hint="eastAsia"/>
          <w:color w:val="000000" w:themeColor="text1"/>
          <w:sz w:val="30"/>
          <w:szCs w:val="30"/>
        </w:rPr>
        <w:t>，</w:t>
      </w:r>
      <w:r w:rsidR="002F7611">
        <w:rPr>
          <w:rFonts w:ascii="仿宋" w:eastAsia="仿宋" w:hAnsi="仿宋" w:hint="eastAsia"/>
          <w:color w:val="000000" w:themeColor="text1"/>
          <w:sz w:val="30"/>
          <w:szCs w:val="30"/>
        </w:rPr>
        <w:t>进一步</w:t>
      </w:r>
      <w:r>
        <w:rPr>
          <w:rFonts w:ascii="仿宋" w:eastAsia="仿宋" w:hAnsi="仿宋" w:hint="eastAsia"/>
          <w:color w:val="000000" w:themeColor="text1"/>
          <w:sz w:val="30"/>
          <w:szCs w:val="30"/>
        </w:rPr>
        <w:t>明确了院庭长的审判监督管理职责。</w:t>
      </w:r>
      <w:r w:rsidR="00D75CEE">
        <w:rPr>
          <w:rFonts w:ascii="仿宋" w:eastAsia="仿宋" w:hAnsi="仿宋" w:hint="eastAsia"/>
          <w:color w:val="000000" w:themeColor="text1"/>
          <w:sz w:val="30"/>
          <w:szCs w:val="30"/>
        </w:rPr>
        <w:t>2020年</w:t>
      </w:r>
      <w:r w:rsidR="00DF79A4">
        <w:rPr>
          <w:rFonts w:ascii="仿宋" w:eastAsia="仿宋" w:hAnsi="仿宋" w:hint="eastAsia"/>
          <w:color w:val="000000" w:themeColor="text1"/>
          <w:sz w:val="30"/>
          <w:szCs w:val="30"/>
        </w:rPr>
        <w:t>6月，</w:t>
      </w:r>
      <w:r w:rsidR="00DF79A4" w:rsidRPr="00DF79A4">
        <w:rPr>
          <w:rFonts w:ascii="仿宋" w:eastAsia="仿宋" w:hAnsi="仿宋" w:hint="eastAsia"/>
          <w:color w:val="000000" w:themeColor="text1"/>
          <w:sz w:val="30"/>
          <w:szCs w:val="30"/>
        </w:rPr>
        <w:t>为深化权责明晰、权责统一、监督有序、制约有效的审判权力运行机制，</w:t>
      </w:r>
      <w:r w:rsidR="00AC045C">
        <w:rPr>
          <w:rFonts w:ascii="仿宋" w:eastAsia="仿宋" w:hAnsi="仿宋" w:hint="eastAsia"/>
          <w:color w:val="000000" w:themeColor="text1"/>
          <w:sz w:val="30"/>
          <w:szCs w:val="30"/>
        </w:rPr>
        <w:t>我院出台</w:t>
      </w:r>
      <w:r w:rsidR="00DF79A4">
        <w:rPr>
          <w:rFonts w:ascii="仿宋" w:eastAsia="仿宋" w:hAnsi="仿宋" w:hint="eastAsia"/>
          <w:color w:val="000000" w:themeColor="text1"/>
          <w:sz w:val="30"/>
          <w:szCs w:val="30"/>
        </w:rPr>
        <w:t>了</w:t>
      </w:r>
      <w:r w:rsidR="00AC045C">
        <w:rPr>
          <w:rFonts w:ascii="仿宋" w:eastAsia="仿宋" w:hAnsi="仿宋" w:hint="eastAsia"/>
          <w:color w:val="000000" w:themeColor="text1"/>
          <w:sz w:val="30"/>
          <w:szCs w:val="30"/>
        </w:rPr>
        <w:t>《</w:t>
      </w:r>
      <w:r w:rsidR="00AC045C" w:rsidRPr="00AC045C">
        <w:rPr>
          <w:rFonts w:ascii="仿宋" w:eastAsia="仿宋" w:hAnsi="仿宋" w:hint="eastAsia"/>
          <w:color w:val="000000" w:themeColor="text1"/>
          <w:sz w:val="30"/>
          <w:szCs w:val="30"/>
        </w:rPr>
        <w:t>长春新区人民法院审判人员及相关司法人员权责负面清单</w:t>
      </w:r>
      <w:r w:rsidR="00AC045C">
        <w:rPr>
          <w:rFonts w:ascii="仿宋" w:eastAsia="仿宋" w:hAnsi="仿宋" w:hint="eastAsia"/>
          <w:color w:val="000000" w:themeColor="text1"/>
          <w:sz w:val="30"/>
          <w:szCs w:val="30"/>
        </w:rPr>
        <w:t>》</w:t>
      </w:r>
      <w:r w:rsidR="00DF79A4">
        <w:rPr>
          <w:rFonts w:ascii="仿宋" w:eastAsia="仿宋" w:hAnsi="仿宋" w:hint="eastAsia"/>
          <w:color w:val="000000" w:themeColor="text1"/>
          <w:sz w:val="30"/>
          <w:szCs w:val="30"/>
        </w:rPr>
        <w:t>（以下简称“《负面清单》”），</w:t>
      </w:r>
      <w:r w:rsidR="00DF79A4" w:rsidRPr="00DF79A4">
        <w:rPr>
          <w:rFonts w:ascii="仿宋" w:eastAsia="仿宋" w:hAnsi="仿宋" w:hint="eastAsia"/>
          <w:color w:val="000000" w:themeColor="text1"/>
          <w:sz w:val="30"/>
          <w:szCs w:val="30"/>
        </w:rPr>
        <w:t>进一步科学界定、细化完善</w:t>
      </w:r>
      <w:r w:rsidR="00DF79A4">
        <w:rPr>
          <w:rFonts w:ascii="仿宋" w:eastAsia="仿宋" w:hAnsi="仿宋" w:hint="eastAsia"/>
          <w:color w:val="000000" w:themeColor="text1"/>
          <w:sz w:val="30"/>
          <w:szCs w:val="30"/>
        </w:rPr>
        <w:t>了院庭长</w:t>
      </w:r>
      <w:r w:rsidR="00DF79A4" w:rsidRPr="00DF79A4">
        <w:rPr>
          <w:rFonts w:ascii="仿宋" w:eastAsia="仿宋" w:hAnsi="仿宋" w:hint="eastAsia"/>
          <w:color w:val="000000" w:themeColor="text1"/>
          <w:sz w:val="30"/>
          <w:szCs w:val="30"/>
        </w:rPr>
        <w:t>审判权力和责任</w:t>
      </w:r>
      <w:r w:rsidR="00DF79A4">
        <w:rPr>
          <w:rFonts w:ascii="仿宋" w:eastAsia="仿宋" w:hAnsi="仿宋" w:hint="eastAsia"/>
          <w:color w:val="000000" w:themeColor="text1"/>
          <w:sz w:val="30"/>
          <w:szCs w:val="30"/>
        </w:rPr>
        <w:t>。</w:t>
      </w:r>
    </w:p>
    <w:p w:rsidR="00C80628" w:rsidRDefault="00C61F7E" w:rsidP="00C80628">
      <w:pPr>
        <w:ind w:firstLine="645"/>
        <w:rPr>
          <w:rFonts w:ascii="仿宋" w:eastAsia="仿宋" w:hAnsi="仿宋"/>
          <w:color w:val="000000" w:themeColor="text1"/>
          <w:sz w:val="30"/>
          <w:szCs w:val="30"/>
        </w:rPr>
      </w:pPr>
      <w:r>
        <w:rPr>
          <w:rFonts w:ascii="仿宋" w:eastAsia="仿宋" w:hAnsi="仿宋" w:hint="eastAsia"/>
          <w:color w:val="000000" w:themeColor="text1"/>
          <w:sz w:val="30"/>
          <w:szCs w:val="30"/>
        </w:rPr>
        <w:t>今年以来，我院</w:t>
      </w:r>
      <w:r w:rsidR="00E50959">
        <w:rPr>
          <w:rFonts w:ascii="仿宋" w:eastAsia="仿宋" w:hAnsi="仿宋" w:hint="eastAsia"/>
          <w:color w:val="000000" w:themeColor="text1"/>
          <w:sz w:val="30"/>
          <w:szCs w:val="30"/>
        </w:rPr>
        <w:t>负审判监督管理职责的院庭长</w:t>
      </w:r>
      <w:r>
        <w:rPr>
          <w:rFonts w:ascii="仿宋" w:eastAsia="仿宋" w:hAnsi="仿宋" w:hint="eastAsia"/>
          <w:color w:val="000000" w:themeColor="text1"/>
          <w:sz w:val="30"/>
          <w:szCs w:val="30"/>
        </w:rPr>
        <w:t>依托</w:t>
      </w:r>
      <w:r w:rsidR="003C4F93">
        <w:rPr>
          <w:rFonts w:ascii="仿宋" w:eastAsia="仿宋" w:hAnsi="仿宋" w:hint="eastAsia"/>
          <w:color w:val="000000" w:themeColor="text1"/>
          <w:sz w:val="30"/>
          <w:szCs w:val="30"/>
        </w:rPr>
        <w:t>数字法院业务应用系统中嵌入的</w:t>
      </w:r>
      <w:r w:rsidR="00E50959">
        <w:rPr>
          <w:rFonts w:ascii="仿宋" w:eastAsia="仿宋" w:hAnsi="仿宋" w:hint="eastAsia"/>
          <w:color w:val="000000" w:themeColor="text1"/>
          <w:sz w:val="30"/>
          <w:szCs w:val="30"/>
        </w:rPr>
        <w:t>院庭长监督管理平台，</w:t>
      </w:r>
      <w:r w:rsidR="00C80628">
        <w:rPr>
          <w:rFonts w:ascii="仿宋" w:eastAsia="仿宋" w:hAnsi="仿宋" w:hint="eastAsia"/>
          <w:color w:val="000000" w:themeColor="text1"/>
          <w:sz w:val="30"/>
          <w:szCs w:val="30"/>
        </w:rPr>
        <w:t>按照《权责清单》的相关规定，</w:t>
      </w:r>
      <w:r w:rsidR="00E50959">
        <w:rPr>
          <w:rFonts w:ascii="仿宋" w:eastAsia="仿宋" w:hAnsi="仿宋" w:hint="eastAsia"/>
          <w:color w:val="000000" w:themeColor="text1"/>
          <w:sz w:val="30"/>
          <w:szCs w:val="30"/>
        </w:rPr>
        <w:t>对</w:t>
      </w:r>
      <w:r w:rsidR="00E50959" w:rsidRPr="00E50959">
        <w:rPr>
          <w:rFonts w:ascii="仿宋" w:eastAsia="仿宋" w:hAnsi="仿宋" w:hint="eastAsia"/>
          <w:color w:val="000000"/>
          <w:sz w:val="30"/>
          <w:szCs w:val="30"/>
        </w:rPr>
        <w:t>涉及群体性纠纷</w:t>
      </w:r>
      <w:r w:rsidR="00E50959">
        <w:rPr>
          <w:rFonts w:ascii="仿宋" w:eastAsia="仿宋" w:hAnsi="仿宋" w:hint="eastAsia"/>
          <w:color w:val="000000" w:themeColor="text1"/>
          <w:sz w:val="30"/>
          <w:szCs w:val="30"/>
        </w:rPr>
        <w:t>、</w:t>
      </w:r>
      <w:r w:rsidR="00E50959" w:rsidRPr="00E50959">
        <w:rPr>
          <w:rFonts w:ascii="仿宋" w:eastAsia="仿宋" w:hAnsi="仿宋" w:hint="eastAsia"/>
          <w:color w:val="000000"/>
          <w:sz w:val="30"/>
          <w:szCs w:val="30"/>
        </w:rPr>
        <w:t>可能影响社会稳定的</w:t>
      </w:r>
      <w:r w:rsidR="00E50959">
        <w:rPr>
          <w:rFonts w:ascii="仿宋" w:eastAsia="仿宋" w:hAnsi="仿宋" w:hint="eastAsia"/>
          <w:color w:val="000000" w:themeColor="text1"/>
          <w:sz w:val="30"/>
          <w:szCs w:val="30"/>
        </w:rPr>
        <w:t>，疑难、复杂且在社会上有重大影响的，</w:t>
      </w:r>
      <w:r w:rsidR="00E50959" w:rsidRPr="00E50959">
        <w:rPr>
          <w:rFonts w:ascii="仿宋" w:eastAsia="仿宋" w:hAnsi="仿宋" w:hint="eastAsia"/>
          <w:color w:val="000000"/>
          <w:sz w:val="30"/>
          <w:szCs w:val="30"/>
        </w:rPr>
        <w:t>与本院或者上级法院的类案判决可能发生冲突的</w:t>
      </w:r>
      <w:r w:rsidR="00E50959">
        <w:rPr>
          <w:rFonts w:ascii="仿宋" w:eastAsia="仿宋" w:hAnsi="仿宋" w:hint="eastAsia"/>
          <w:color w:val="000000" w:themeColor="text1"/>
          <w:sz w:val="30"/>
          <w:szCs w:val="30"/>
        </w:rPr>
        <w:t>以及有关单位或者个人反映法官有违法审判、执行行为的“四类案件”进行</w:t>
      </w:r>
      <w:r w:rsidR="003C4F93">
        <w:rPr>
          <w:rFonts w:ascii="仿宋" w:eastAsia="仿宋" w:hAnsi="仿宋" w:hint="eastAsia"/>
          <w:color w:val="000000" w:themeColor="text1"/>
          <w:sz w:val="30"/>
          <w:szCs w:val="30"/>
        </w:rPr>
        <w:t>系统监管，做到</w:t>
      </w:r>
      <w:r w:rsidR="006A684F">
        <w:rPr>
          <w:rFonts w:ascii="仿宋" w:eastAsia="仿宋" w:hAnsi="仿宋" w:hint="eastAsia"/>
          <w:color w:val="000000" w:themeColor="text1"/>
          <w:sz w:val="30"/>
          <w:szCs w:val="30"/>
        </w:rPr>
        <w:t>监管“全程留痕”。</w:t>
      </w:r>
      <w:r w:rsidR="00777BFE">
        <w:rPr>
          <w:rFonts w:ascii="仿宋" w:eastAsia="仿宋" w:hAnsi="仿宋" w:hint="eastAsia"/>
          <w:color w:val="000000" w:themeColor="text1"/>
          <w:sz w:val="30"/>
          <w:szCs w:val="30"/>
        </w:rPr>
        <w:t>（数据详见表一）</w:t>
      </w:r>
    </w:p>
    <w:p w:rsidR="00B11FC8" w:rsidRDefault="00B11FC8" w:rsidP="00B11FC8">
      <w:pPr>
        <w:rPr>
          <w:rFonts w:ascii="黑体" w:eastAsia="黑体" w:hAnsi="黑体" w:hint="eastAsia"/>
          <w:color w:val="000000" w:themeColor="text1"/>
          <w:sz w:val="24"/>
          <w:szCs w:val="30"/>
        </w:rPr>
      </w:pPr>
      <w:r>
        <w:rPr>
          <w:rFonts w:ascii="黑体" w:eastAsia="黑体" w:hAnsi="黑体"/>
          <w:noProof/>
          <w:color w:val="000000" w:themeColor="text1"/>
          <w:sz w:val="24"/>
          <w:szCs w:val="30"/>
        </w:rPr>
        <w:lastRenderedPageBreak/>
        <w:drawing>
          <wp:inline distT="0" distB="0" distL="0" distR="0">
            <wp:extent cx="5274310" cy="2623420"/>
            <wp:effectExtent l="19050" t="0" r="2540" b="0"/>
            <wp:docPr id="9" name="图片 9" descr="D:\Program Files\Cocall4数据\CoCall4_4jfy\1143106@zgfy\capscrpic\69537133b3c543768361dc3264285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gram Files\Cocall4数据\CoCall4_4jfy\1143106@zgfy\capscrpic\69537133b3c543768361dc3264285bc0.png"/>
                    <pic:cNvPicPr>
                      <a:picLocks noChangeAspect="1" noChangeArrowheads="1"/>
                    </pic:cNvPicPr>
                  </pic:nvPicPr>
                  <pic:blipFill>
                    <a:blip r:embed="rId6"/>
                    <a:srcRect/>
                    <a:stretch>
                      <a:fillRect/>
                    </a:stretch>
                  </pic:blipFill>
                  <pic:spPr bwMode="auto">
                    <a:xfrm>
                      <a:off x="0" y="0"/>
                      <a:ext cx="5274310" cy="2623420"/>
                    </a:xfrm>
                    <a:prstGeom prst="rect">
                      <a:avLst/>
                    </a:prstGeom>
                    <a:noFill/>
                    <a:ln w="9525">
                      <a:noFill/>
                      <a:miter lim="800000"/>
                      <a:headEnd/>
                      <a:tailEnd/>
                    </a:ln>
                  </pic:spPr>
                </pic:pic>
              </a:graphicData>
            </a:graphic>
          </wp:inline>
        </w:drawing>
      </w:r>
    </w:p>
    <w:p w:rsidR="002F7611" w:rsidRPr="00A77FA0" w:rsidRDefault="00D52183" w:rsidP="00B11FC8">
      <w:pPr>
        <w:ind w:firstLineChars="200" w:firstLine="600"/>
        <w:rPr>
          <w:rFonts w:ascii="仿宋" w:eastAsia="仿宋" w:hAnsi="仿宋" w:cs="楷体_GB2312"/>
          <w:bCs/>
          <w:color w:val="000000" w:themeColor="text1"/>
          <w:sz w:val="30"/>
          <w:szCs w:val="30"/>
        </w:rPr>
      </w:pPr>
      <w:r w:rsidRPr="00A77FA0">
        <w:rPr>
          <w:rFonts w:ascii="仿宋" w:eastAsia="仿宋" w:hAnsi="仿宋" w:cs="楷体_GB2312" w:hint="eastAsia"/>
          <w:bCs/>
          <w:color w:val="000000" w:themeColor="text1"/>
          <w:sz w:val="30"/>
          <w:szCs w:val="30"/>
        </w:rPr>
        <w:t>另外</w:t>
      </w:r>
      <w:r w:rsidR="00337D0C" w:rsidRPr="00A77FA0">
        <w:rPr>
          <w:rFonts w:ascii="仿宋" w:eastAsia="仿宋" w:hAnsi="仿宋" w:cs="楷体_GB2312" w:hint="eastAsia"/>
          <w:bCs/>
          <w:color w:val="000000" w:themeColor="text1"/>
          <w:sz w:val="30"/>
          <w:szCs w:val="30"/>
        </w:rPr>
        <w:t>，按照《</w:t>
      </w:r>
      <w:r w:rsidR="00400CC0">
        <w:rPr>
          <w:rFonts w:ascii="仿宋" w:eastAsia="仿宋" w:hAnsi="仿宋" w:cs="楷体_GB2312" w:hint="eastAsia"/>
          <w:bCs/>
          <w:color w:val="000000" w:themeColor="text1"/>
          <w:sz w:val="30"/>
          <w:szCs w:val="30"/>
        </w:rPr>
        <w:t>权责</w:t>
      </w:r>
      <w:r w:rsidR="00337D0C" w:rsidRPr="00A77FA0">
        <w:rPr>
          <w:rFonts w:ascii="仿宋" w:eastAsia="仿宋" w:hAnsi="仿宋" w:cs="楷体_GB2312" w:hint="eastAsia"/>
          <w:bCs/>
          <w:color w:val="000000" w:themeColor="text1"/>
          <w:sz w:val="30"/>
          <w:szCs w:val="30"/>
        </w:rPr>
        <w:t>清单》规定，院庭长同时行使以下审判监督管理职责</w:t>
      </w:r>
      <w:r w:rsidRPr="00A77FA0">
        <w:rPr>
          <w:rFonts w:ascii="仿宋" w:eastAsia="仿宋" w:hAnsi="仿宋" w:cs="楷体_GB2312" w:hint="eastAsia"/>
          <w:bCs/>
          <w:color w:val="000000" w:themeColor="text1"/>
          <w:sz w:val="30"/>
          <w:szCs w:val="30"/>
        </w:rPr>
        <w:t>：</w:t>
      </w:r>
    </w:p>
    <w:p w:rsidR="00D52183" w:rsidRPr="00A77FA0" w:rsidRDefault="00337D0C" w:rsidP="00A77FA0">
      <w:pPr>
        <w:ind w:firstLineChars="200" w:firstLine="600"/>
        <w:rPr>
          <w:rFonts w:ascii="仿宋" w:eastAsia="仿宋" w:hAnsi="仿宋"/>
          <w:color w:val="000000"/>
          <w:sz w:val="30"/>
          <w:szCs w:val="30"/>
        </w:rPr>
      </w:pPr>
      <w:r w:rsidRPr="00A77FA0">
        <w:rPr>
          <w:rFonts w:ascii="仿宋" w:eastAsia="仿宋" w:hAnsi="仿宋" w:cs="楷体_GB2312" w:hint="eastAsia"/>
          <w:bCs/>
          <w:color w:val="000000" w:themeColor="text1"/>
          <w:sz w:val="30"/>
          <w:szCs w:val="30"/>
        </w:rPr>
        <w:t>院长</w:t>
      </w:r>
      <w:r w:rsidR="00CC00E0" w:rsidRPr="00A77FA0">
        <w:rPr>
          <w:rFonts w:ascii="仿宋" w:eastAsia="仿宋" w:hAnsi="仿宋" w:hint="eastAsia"/>
          <w:color w:val="000000"/>
          <w:sz w:val="30"/>
          <w:szCs w:val="30"/>
        </w:rPr>
        <w:t>依法对生效案件进行监督；对符合条件的案件提交审判委员会讨论；</w:t>
      </w:r>
      <w:r w:rsidR="00CC00E0" w:rsidRPr="00A77FA0">
        <w:rPr>
          <w:rFonts w:ascii="仿宋" w:eastAsia="仿宋" w:hAnsi="仿宋" w:hint="eastAsia"/>
          <w:sz w:val="30"/>
          <w:szCs w:val="30"/>
        </w:rPr>
        <w:t>对“四类案件”进行监督，并要求独任法官或合议庭报告案件进展和评议结果；</w:t>
      </w:r>
      <w:r w:rsidR="00D52183" w:rsidRPr="00A77FA0">
        <w:rPr>
          <w:rFonts w:ascii="仿宋" w:eastAsia="仿宋" w:hAnsi="仿宋" w:hint="eastAsia"/>
          <w:sz w:val="30"/>
          <w:szCs w:val="30"/>
        </w:rPr>
        <w:t>从宏观上指导本院各项审判工作，组织研究相关重大问题；全面负责审判管理工作，主持制定相关管理制度；依照法律规定的权限和程序，对案件审理中减缓免交诉讼费、向上级法院请示变更管辖等程序性事项作出决定；主持审判委员会讨论审判工作中的重大事项；组织案件质量评查会议，确定案件质量责任追究；定期听取审判运行态势分析，组织研判抓好审判质效；配置审判资源，包括专业化合议庭、审判团队组建模式及其职责分工等；督促分管院领导、庭长组织分管的部门完成审判执行工作任务；</w:t>
      </w:r>
      <w:r w:rsidR="00D52183" w:rsidRPr="00A77FA0">
        <w:rPr>
          <w:rFonts w:ascii="仿宋" w:eastAsia="仿宋" w:hAnsi="仿宋"/>
          <w:sz w:val="30"/>
          <w:szCs w:val="30"/>
        </w:rPr>
        <w:t>检查监督纪律作风，通过接待群众来访、处理举报投诉、日常监督管理，发现案件审理中可能存在的问题，提出改进措施等</w:t>
      </w:r>
      <w:r w:rsidR="00D52183" w:rsidRPr="00A77FA0">
        <w:rPr>
          <w:rFonts w:ascii="仿宋" w:eastAsia="仿宋" w:hAnsi="仿宋" w:hint="eastAsia"/>
          <w:sz w:val="30"/>
          <w:szCs w:val="30"/>
        </w:rPr>
        <w:t>；</w:t>
      </w:r>
      <w:r w:rsidR="00CC00E0" w:rsidRPr="00A77FA0">
        <w:rPr>
          <w:rFonts w:ascii="仿宋" w:eastAsia="仿宋" w:hAnsi="仿宋" w:hint="eastAsia"/>
          <w:sz w:val="30"/>
          <w:szCs w:val="30"/>
        </w:rPr>
        <w:t>行使其他与审判工作相关的必要管理权</w:t>
      </w:r>
      <w:r w:rsidR="00AC045C">
        <w:rPr>
          <w:rFonts w:ascii="仿宋" w:eastAsia="仿宋" w:hAnsi="仿宋" w:hint="eastAsia"/>
          <w:sz w:val="30"/>
          <w:szCs w:val="30"/>
        </w:rPr>
        <w:t>。</w:t>
      </w:r>
    </w:p>
    <w:p w:rsidR="00D52183" w:rsidRPr="00A77FA0" w:rsidRDefault="00D52183" w:rsidP="00A77FA0">
      <w:pPr>
        <w:ind w:firstLine="645"/>
        <w:rPr>
          <w:rFonts w:ascii="仿宋" w:eastAsia="仿宋" w:hAnsi="仿宋"/>
          <w:sz w:val="30"/>
          <w:szCs w:val="30"/>
        </w:rPr>
      </w:pPr>
      <w:r w:rsidRPr="00A77FA0">
        <w:rPr>
          <w:rFonts w:ascii="仿宋" w:eastAsia="仿宋" w:hAnsi="仿宋" w:hint="eastAsia"/>
          <w:sz w:val="30"/>
          <w:szCs w:val="30"/>
        </w:rPr>
        <w:lastRenderedPageBreak/>
        <w:t>副院长</w:t>
      </w:r>
      <w:r w:rsidR="00A77FA0" w:rsidRPr="00A77FA0">
        <w:rPr>
          <w:rFonts w:ascii="仿宋" w:eastAsia="仿宋" w:hAnsi="仿宋" w:hint="eastAsia"/>
          <w:sz w:val="30"/>
          <w:szCs w:val="30"/>
        </w:rPr>
        <w:t>参照《</w:t>
      </w:r>
      <w:r w:rsidR="00400CC0">
        <w:rPr>
          <w:rFonts w:ascii="仿宋" w:eastAsia="仿宋" w:hAnsi="仿宋" w:cs="楷体_GB2312" w:hint="eastAsia"/>
          <w:bCs/>
          <w:color w:val="000000" w:themeColor="text1"/>
          <w:sz w:val="30"/>
          <w:szCs w:val="30"/>
        </w:rPr>
        <w:t>权责</w:t>
      </w:r>
      <w:r w:rsidR="00400CC0" w:rsidRPr="00A77FA0">
        <w:rPr>
          <w:rFonts w:ascii="仿宋" w:eastAsia="仿宋" w:hAnsi="仿宋" w:cs="楷体_GB2312" w:hint="eastAsia"/>
          <w:bCs/>
          <w:color w:val="000000" w:themeColor="text1"/>
          <w:sz w:val="30"/>
          <w:szCs w:val="30"/>
        </w:rPr>
        <w:t>清单</w:t>
      </w:r>
      <w:r w:rsidR="00A77FA0" w:rsidRPr="00A77FA0">
        <w:rPr>
          <w:rFonts w:ascii="仿宋" w:eastAsia="仿宋" w:hAnsi="仿宋" w:hint="eastAsia"/>
          <w:sz w:val="30"/>
          <w:szCs w:val="30"/>
        </w:rPr>
        <w:t>》的有关规定对“四类案件”进行个案监督；受院长委托，履行部分监督职责；</w:t>
      </w:r>
      <w:r w:rsidRPr="00A77FA0">
        <w:rPr>
          <w:rFonts w:ascii="仿宋" w:eastAsia="仿宋" w:hAnsi="仿宋" w:hint="eastAsia"/>
          <w:sz w:val="30"/>
          <w:szCs w:val="30"/>
        </w:rPr>
        <w:t>负责指导、管理分管的审判业务部门完成审判工作，总结审判经验；提请院长召开审判委员会，受院长委托主持审判委员会；签发财产保全裁定；</w:t>
      </w:r>
      <w:r w:rsidRPr="00A77FA0">
        <w:rPr>
          <w:rFonts w:ascii="仿宋" w:eastAsia="仿宋" w:hAnsi="仿宋"/>
          <w:sz w:val="30"/>
          <w:szCs w:val="30"/>
        </w:rPr>
        <w:t xml:space="preserve"> </w:t>
      </w:r>
      <w:r w:rsidRPr="00A77FA0">
        <w:rPr>
          <w:rFonts w:ascii="仿宋" w:eastAsia="仿宋" w:hAnsi="仿宋" w:hint="eastAsia"/>
          <w:color w:val="000000"/>
          <w:sz w:val="30"/>
          <w:szCs w:val="30"/>
        </w:rPr>
        <w:t>依照分案规则，负责随机分案后因特殊情况需要调整分案的事宜，确定案件的承办法官；</w:t>
      </w:r>
      <w:r w:rsidRPr="00A77FA0">
        <w:rPr>
          <w:rFonts w:ascii="仿宋" w:eastAsia="仿宋" w:hAnsi="仿宋" w:hint="eastAsia"/>
          <w:sz w:val="30"/>
          <w:szCs w:val="30"/>
        </w:rPr>
        <w:t>在分工范围和权限内，采取优化内部程序的措施，落实审判管理工作要求；对分管部门的审判工作、案件质量、审判效率进行监督指导，对长期未结、久押不决等案件进行催办、督办；协调、组织重大审判活动的相关工作；根据需求和请求，召集、主持分管范围内的专业法官会议；沟通协调与上级法院相关业务部门、其他机关相关业务部门的工作；检查监督纪律作风，通过接待群众来访、处理举报投诉、日常监督管理，发现案件审理中可能存在的问题，提出改进措施；完成院长授权或者交办的其他审判管理工作。</w:t>
      </w:r>
    </w:p>
    <w:p w:rsidR="00A77FA0" w:rsidRPr="00A77FA0" w:rsidRDefault="00D52183" w:rsidP="00A77FA0">
      <w:pPr>
        <w:ind w:firstLine="645"/>
        <w:rPr>
          <w:rFonts w:ascii="仿宋" w:eastAsia="仿宋" w:hAnsi="仿宋"/>
          <w:sz w:val="30"/>
          <w:szCs w:val="30"/>
        </w:rPr>
      </w:pPr>
      <w:r w:rsidRPr="00A77FA0">
        <w:rPr>
          <w:rFonts w:ascii="仿宋" w:eastAsia="仿宋" w:hAnsi="仿宋" w:hint="eastAsia"/>
          <w:sz w:val="30"/>
          <w:szCs w:val="30"/>
        </w:rPr>
        <w:t>庭长</w:t>
      </w:r>
      <w:r w:rsidR="00A77FA0" w:rsidRPr="00A77FA0">
        <w:rPr>
          <w:rFonts w:ascii="仿宋" w:eastAsia="仿宋" w:hAnsi="仿宋" w:hint="eastAsia"/>
          <w:sz w:val="30"/>
          <w:szCs w:val="30"/>
        </w:rPr>
        <w:t>参照《</w:t>
      </w:r>
      <w:r w:rsidR="00400CC0">
        <w:rPr>
          <w:rFonts w:ascii="仿宋" w:eastAsia="仿宋" w:hAnsi="仿宋" w:cs="楷体_GB2312" w:hint="eastAsia"/>
          <w:bCs/>
          <w:color w:val="000000" w:themeColor="text1"/>
          <w:sz w:val="30"/>
          <w:szCs w:val="30"/>
        </w:rPr>
        <w:t>权责</w:t>
      </w:r>
      <w:r w:rsidR="00400CC0" w:rsidRPr="00A77FA0">
        <w:rPr>
          <w:rFonts w:ascii="仿宋" w:eastAsia="仿宋" w:hAnsi="仿宋" w:cs="楷体_GB2312" w:hint="eastAsia"/>
          <w:bCs/>
          <w:color w:val="000000" w:themeColor="text1"/>
          <w:sz w:val="30"/>
          <w:szCs w:val="30"/>
        </w:rPr>
        <w:t>清单</w:t>
      </w:r>
      <w:r w:rsidR="00A77FA0" w:rsidRPr="00A77FA0">
        <w:rPr>
          <w:rFonts w:ascii="仿宋" w:eastAsia="仿宋" w:hAnsi="仿宋" w:hint="eastAsia"/>
          <w:sz w:val="30"/>
          <w:szCs w:val="30"/>
        </w:rPr>
        <w:t>》的有关规定对“四类案件”进行个案监督；协助分管院领导监督与审判有关的其他事务；负责指导管理本庭审判工作，落实本院确定的审判工作任务； 随机分案后，因特殊情况需要调整分案的，经庭长审核后报分管院领导审批；依照法律和法院内部规定，对审判过程中的相关程序性事项作出决定；审核财产保全裁定，认为确需保全的，报分管院领导签发；</w:t>
      </w:r>
      <w:r w:rsidR="00A77FA0" w:rsidRPr="00A77FA0">
        <w:rPr>
          <w:rFonts w:ascii="仿宋" w:eastAsia="仿宋" w:hAnsi="仿宋"/>
          <w:sz w:val="30"/>
          <w:szCs w:val="30"/>
        </w:rPr>
        <w:t xml:space="preserve"> </w:t>
      </w:r>
      <w:r w:rsidR="00A77FA0" w:rsidRPr="00A77FA0">
        <w:rPr>
          <w:rFonts w:ascii="仿宋" w:eastAsia="仿宋" w:hAnsi="仿宋" w:hint="eastAsia"/>
          <w:sz w:val="30"/>
          <w:szCs w:val="30"/>
        </w:rPr>
        <w:t>根据本庭实际情况，研究制定各合议庭之间，法官之间，法官、法官助理、书记员之间的职责分工，合理配置庭内审判资源；</w:t>
      </w:r>
      <w:r w:rsidR="00A77FA0" w:rsidRPr="00A77FA0">
        <w:rPr>
          <w:rFonts w:ascii="仿宋" w:eastAsia="仿宋" w:hAnsi="仿宋"/>
          <w:sz w:val="30"/>
          <w:szCs w:val="30"/>
        </w:rPr>
        <w:t xml:space="preserve"> </w:t>
      </w:r>
      <w:r w:rsidR="00A77FA0" w:rsidRPr="00A77FA0">
        <w:rPr>
          <w:rFonts w:ascii="仿宋" w:eastAsia="仿宋" w:hAnsi="仿宋" w:cs="仿宋" w:hint="eastAsia"/>
          <w:sz w:val="30"/>
          <w:szCs w:val="30"/>
        </w:rPr>
        <w:t>审</w:t>
      </w:r>
      <w:r w:rsidR="00A77FA0" w:rsidRPr="00A77FA0">
        <w:rPr>
          <w:rFonts w:ascii="仿宋" w:eastAsia="仿宋" w:hAnsi="仿宋" w:cs="仿宋" w:hint="eastAsia"/>
          <w:sz w:val="30"/>
          <w:szCs w:val="30"/>
        </w:rPr>
        <w:lastRenderedPageBreak/>
        <w:t>核合议庭提出的召开专业法官会议的申请，认为确需召开的，报分管院领导决定；</w:t>
      </w:r>
      <w:r w:rsidR="00A77FA0" w:rsidRPr="00A77FA0">
        <w:rPr>
          <w:rFonts w:ascii="仿宋" w:eastAsia="仿宋" w:hAnsi="仿宋"/>
          <w:color w:val="FF0000"/>
          <w:sz w:val="30"/>
          <w:szCs w:val="30"/>
        </w:rPr>
        <w:t xml:space="preserve"> </w:t>
      </w:r>
      <w:r w:rsidR="00A77FA0" w:rsidRPr="00A77FA0">
        <w:rPr>
          <w:rFonts w:ascii="仿宋" w:eastAsia="仿宋" w:hAnsi="仿宋" w:hint="eastAsia"/>
          <w:sz w:val="30"/>
          <w:szCs w:val="30"/>
        </w:rPr>
        <w:t>根据工作需要，细化落实本庭审判管理制度，针对存在的问题优化内部管理措施；定期分析本庭审判运行态势，讲评典型案件，研究、讨论法律适用问题，交流审判经验，积极采取措施提高审判质效；组织做好本庭信访案件的释法答疑、矛盾化解、息诉息访等工作；组织做好本庭的司法调研、信息报送、司法建议、司法公开等工作；监督管理本庭案件审判流程，督促本庭审判团队均衡结案，对长期未结、久押不决等案件进行督办；加强与上级法院相关业务沟通，统一裁判尺度；协助分管院领导管理与审判有关的其他事务。</w:t>
      </w:r>
    </w:p>
    <w:p w:rsidR="00400CC0" w:rsidRPr="00400CC0" w:rsidRDefault="00400CC0" w:rsidP="00400CC0">
      <w:pPr>
        <w:ind w:firstLineChars="200" w:firstLine="600"/>
        <w:rPr>
          <w:rFonts w:ascii="仿宋" w:eastAsia="仿宋" w:hAnsi="仿宋"/>
          <w:sz w:val="30"/>
          <w:szCs w:val="30"/>
        </w:rPr>
      </w:pPr>
      <w:r>
        <w:rPr>
          <w:rFonts w:ascii="仿宋" w:eastAsia="仿宋" w:hAnsi="仿宋" w:hint="eastAsia"/>
          <w:sz w:val="30"/>
          <w:szCs w:val="30"/>
        </w:rPr>
        <w:t>按照《负面清单》规定，</w:t>
      </w:r>
      <w:r w:rsidRPr="00400CC0">
        <w:rPr>
          <w:rFonts w:ascii="仿宋" w:eastAsia="仿宋" w:hAnsi="仿宋" w:hint="eastAsia"/>
          <w:sz w:val="30"/>
          <w:szCs w:val="30"/>
        </w:rPr>
        <w:t>院庭长不得有以下行为：（1）未严格履行审判监督管理职责，或者未按照规定在院庭长监督管理平台全程留痕；（2）因故意或重大过失，怠于行使或不正当行使审判监督管理职责导致裁判错误并造成严重后果</w:t>
      </w:r>
      <w:r>
        <w:rPr>
          <w:rFonts w:ascii="仿宋" w:eastAsia="仿宋" w:hAnsi="仿宋" w:hint="eastAsia"/>
          <w:sz w:val="30"/>
          <w:szCs w:val="30"/>
        </w:rPr>
        <w:t>。如违反《负面清单》禁止性情形的，一经发现应当严格按照有关规定认定和追究责任。这也进一步完善了对院庭长审判监督管理权的规制，为全面落实司法责任制、正确处理充分放权与</w:t>
      </w:r>
      <w:r w:rsidR="00F249B3">
        <w:rPr>
          <w:rFonts w:ascii="仿宋" w:eastAsia="仿宋" w:hAnsi="仿宋" w:hint="eastAsia"/>
          <w:sz w:val="30"/>
          <w:szCs w:val="30"/>
        </w:rPr>
        <w:t>有效监管的关系起到一定积极作用。</w:t>
      </w:r>
    </w:p>
    <w:p w:rsidR="00D52183" w:rsidRPr="00400CC0" w:rsidRDefault="00D52183" w:rsidP="00A77FA0">
      <w:pPr>
        <w:ind w:firstLineChars="200" w:firstLine="600"/>
        <w:rPr>
          <w:rFonts w:ascii="仿宋" w:eastAsia="仿宋" w:hAnsi="仿宋"/>
          <w:sz w:val="30"/>
          <w:szCs w:val="30"/>
        </w:rPr>
      </w:pPr>
    </w:p>
    <w:p w:rsidR="00337D0C" w:rsidRPr="00A77FA0" w:rsidRDefault="00337D0C" w:rsidP="00A77FA0">
      <w:pPr>
        <w:ind w:firstLineChars="200" w:firstLine="600"/>
        <w:rPr>
          <w:rFonts w:ascii="仿宋" w:eastAsia="仿宋" w:hAnsi="仿宋" w:cs="楷体_GB2312"/>
          <w:bCs/>
          <w:color w:val="000000" w:themeColor="text1"/>
          <w:sz w:val="30"/>
          <w:szCs w:val="30"/>
        </w:rPr>
      </w:pPr>
    </w:p>
    <w:p w:rsidR="00BC41AE" w:rsidRPr="00A77FA0" w:rsidRDefault="00BC41AE" w:rsidP="00A77FA0">
      <w:pPr>
        <w:rPr>
          <w:rFonts w:ascii="仿宋" w:eastAsia="仿宋" w:hAnsi="仿宋"/>
          <w:sz w:val="30"/>
          <w:szCs w:val="30"/>
        </w:rPr>
      </w:pPr>
    </w:p>
    <w:sectPr w:rsidR="00BC41AE" w:rsidRPr="00A77FA0" w:rsidSect="005B53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5D4" w:rsidRDefault="009E65D4" w:rsidP="0064120F">
      <w:r>
        <w:separator/>
      </w:r>
    </w:p>
  </w:endnote>
  <w:endnote w:type="continuationSeparator" w:id="1">
    <w:p w:rsidR="009E65D4" w:rsidRDefault="009E65D4" w:rsidP="00641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5D4" w:rsidRDefault="009E65D4" w:rsidP="0064120F">
      <w:r>
        <w:separator/>
      </w:r>
    </w:p>
  </w:footnote>
  <w:footnote w:type="continuationSeparator" w:id="1">
    <w:p w:rsidR="009E65D4" w:rsidRDefault="009E65D4" w:rsidP="00641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20F"/>
    <w:rsid w:val="0029477F"/>
    <w:rsid w:val="002F7611"/>
    <w:rsid w:val="00337D0C"/>
    <w:rsid w:val="003C4F93"/>
    <w:rsid w:val="00400CC0"/>
    <w:rsid w:val="005B5307"/>
    <w:rsid w:val="0064120F"/>
    <w:rsid w:val="006461DB"/>
    <w:rsid w:val="006A684F"/>
    <w:rsid w:val="006A6E7C"/>
    <w:rsid w:val="00777BFE"/>
    <w:rsid w:val="009E65D4"/>
    <w:rsid w:val="00A77FA0"/>
    <w:rsid w:val="00AC045C"/>
    <w:rsid w:val="00B11FC8"/>
    <w:rsid w:val="00BC41AE"/>
    <w:rsid w:val="00C4458A"/>
    <w:rsid w:val="00C61F7E"/>
    <w:rsid w:val="00C80628"/>
    <w:rsid w:val="00CC00E0"/>
    <w:rsid w:val="00D52183"/>
    <w:rsid w:val="00D75CEE"/>
    <w:rsid w:val="00DF79A4"/>
    <w:rsid w:val="00E50959"/>
    <w:rsid w:val="00F24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0F"/>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2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120F"/>
    <w:rPr>
      <w:sz w:val="18"/>
      <w:szCs w:val="18"/>
    </w:rPr>
  </w:style>
  <w:style w:type="paragraph" w:styleId="a4">
    <w:name w:val="footer"/>
    <w:basedOn w:val="a"/>
    <w:link w:val="Char0"/>
    <w:uiPriority w:val="99"/>
    <w:semiHidden/>
    <w:unhideWhenUsed/>
    <w:rsid w:val="006412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120F"/>
    <w:rPr>
      <w:sz w:val="18"/>
      <w:szCs w:val="18"/>
    </w:rPr>
  </w:style>
  <w:style w:type="paragraph" w:styleId="a5">
    <w:name w:val="Balloon Text"/>
    <w:basedOn w:val="a"/>
    <w:link w:val="Char1"/>
    <w:uiPriority w:val="99"/>
    <w:semiHidden/>
    <w:unhideWhenUsed/>
    <w:rsid w:val="00B11FC8"/>
    <w:rPr>
      <w:sz w:val="18"/>
      <w:szCs w:val="18"/>
    </w:rPr>
  </w:style>
  <w:style w:type="character" w:customStyle="1" w:styleId="Char1">
    <w:name w:val="批注框文本 Char"/>
    <w:basedOn w:val="a0"/>
    <w:link w:val="a5"/>
    <w:uiPriority w:val="99"/>
    <w:semiHidden/>
    <w:rsid w:val="00B11FC8"/>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9226197">
      <w:bodyDiv w:val="1"/>
      <w:marLeft w:val="0"/>
      <w:marRight w:val="0"/>
      <w:marTop w:val="0"/>
      <w:marBottom w:val="0"/>
      <w:divBdr>
        <w:top w:val="none" w:sz="0" w:space="0" w:color="auto"/>
        <w:left w:val="none" w:sz="0" w:space="0" w:color="auto"/>
        <w:bottom w:val="none" w:sz="0" w:space="0" w:color="auto"/>
        <w:right w:val="none" w:sz="0" w:space="0" w:color="auto"/>
      </w:divBdr>
    </w:div>
    <w:div w:id="264264135">
      <w:bodyDiv w:val="1"/>
      <w:marLeft w:val="0"/>
      <w:marRight w:val="0"/>
      <w:marTop w:val="0"/>
      <w:marBottom w:val="0"/>
      <w:divBdr>
        <w:top w:val="none" w:sz="0" w:space="0" w:color="auto"/>
        <w:left w:val="none" w:sz="0" w:space="0" w:color="auto"/>
        <w:bottom w:val="none" w:sz="0" w:space="0" w:color="auto"/>
        <w:right w:val="none" w:sz="0" w:space="0" w:color="auto"/>
      </w:divBdr>
    </w:div>
    <w:div w:id="19246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294</Words>
  <Characters>1681</Characters>
  <Application>Microsoft Office Word</Application>
  <DocSecurity>0</DocSecurity>
  <Lines>14</Lines>
  <Paragraphs>3</Paragraphs>
  <ScaleCrop>false</ScaleCrop>
  <Company>微软中国</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杜思陆</dc:creator>
  <cp:keywords/>
  <dc:description/>
  <cp:lastModifiedBy>于松民</cp:lastModifiedBy>
  <cp:revision>19</cp:revision>
  <dcterms:created xsi:type="dcterms:W3CDTF">2020-10-10T05:38:00Z</dcterms:created>
  <dcterms:modified xsi:type="dcterms:W3CDTF">2021-09-08T02:17:00Z</dcterms:modified>
</cp:coreProperties>
</file>