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86" w:rsidRDefault="00172586" w:rsidP="000D5A7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长春新区人民法院</w:t>
      </w:r>
    </w:p>
    <w:p w:rsidR="00172586" w:rsidRDefault="00172586" w:rsidP="000D5A7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机关党建工作标准</w:t>
      </w:r>
    </w:p>
    <w:p w:rsidR="00172586" w:rsidRDefault="00172586" w:rsidP="00FB3A38">
      <w:pPr>
        <w:spacing w:line="580" w:lineRule="exact"/>
        <w:ind w:firstLineChars="200" w:firstLine="420"/>
      </w:pPr>
    </w:p>
    <w:p w:rsidR="00172586" w:rsidRDefault="00172586" w:rsidP="00FB3A38">
      <w:pPr>
        <w:pStyle w:val="2"/>
        <w:spacing w:line="580" w:lineRule="exact"/>
        <w:ind w:firstLineChars="200" w:firstLine="640"/>
        <w:rPr>
          <w:rFonts w:ascii="黑体" w:hAnsi="黑体" w:cs="黑体"/>
        </w:rPr>
      </w:pPr>
    </w:p>
    <w:p w:rsidR="00172586" w:rsidRDefault="00172586" w:rsidP="00FB3A38">
      <w:pPr>
        <w:spacing w:line="580" w:lineRule="exact"/>
        <w:ind w:firstLineChars="200" w:firstLine="420"/>
      </w:pPr>
    </w:p>
    <w:p w:rsidR="00172586" w:rsidRDefault="0088422D" w:rsidP="00FB3A38">
      <w:pPr>
        <w:pStyle w:val="2"/>
        <w:numPr>
          <w:ilvl w:val="0"/>
          <w:numId w:val="3"/>
        </w:numPr>
        <w:spacing w:line="580" w:lineRule="exact"/>
        <w:ind w:firstLineChars="200" w:firstLine="640"/>
        <w:jc w:val="center"/>
      </w:pPr>
      <w:bookmarkStart w:id="0" w:name="_Toc25651"/>
      <w:r>
        <w:rPr>
          <w:rFonts w:hint="eastAsia"/>
        </w:rPr>
        <w:t xml:space="preserve">   </w:t>
      </w:r>
      <w:r w:rsidR="00172586">
        <w:t>总则</w:t>
      </w:r>
      <w:bookmarkEnd w:id="0"/>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第一条</w:t>
      </w:r>
      <w:r>
        <w:rPr>
          <w:rFonts w:ascii="仿宋_GB2312" w:eastAsia="仿宋_GB2312" w:hAnsi="Times New Roman" w:hint="eastAsia"/>
          <w:color w:val="000000"/>
          <w:sz w:val="32"/>
          <w:szCs w:val="32"/>
        </w:rPr>
        <w:t>根据《中国共产党章程》《中国共产党和国家机关基层组织工作条例》及省、市委加强机关党建工作有关要求，制定本标准。</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第二条</w:t>
      </w:r>
      <w:r>
        <w:rPr>
          <w:rFonts w:ascii="仿宋_GB2312" w:eastAsia="仿宋_GB2312" w:hAnsi="Times New Roman" w:hint="eastAsia"/>
          <w:color w:val="000000"/>
          <w:sz w:val="32"/>
          <w:szCs w:val="32"/>
        </w:rPr>
        <w:t>本标准适用范围是两级法院</w:t>
      </w:r>
      <w:bookmarkStart w:id="1" w:name="_GoBack"/>
      <w:bookmarkEnd w:id="1"/>
      <w:r>
        <w:rPr>
          <w:rFonts w:ascii="仿宋_GB2312" w:eastAsia="仿宋_GB2312" w:hAnsi="Times New Roman" w:hint="eastAsia"/>
          <w:color w:val="000000"/>
          <w:sz w:val="32"/>
          <w:szCs w:val="32"/>
        </w:rPr>
        <w:t>各级党组织。</w:t>
      </w:r>
    </w:p>
    <w:p w:rsidR="00172586" w:rsidRDefault="00172586" w:rsidP="00FB3A38">
      <w:pPr>
        <w:spacing w:line="580" w:lineRule="exact"/>
        <w:ind w:firstLineChars="200" w:firstLine="640"/>
        <w:rPr>
          <w:rFonts w:ascii="Times New Roman" w:hAnsi="Times New Roman"/>
          <w:color w:val="000000"/>
          <w:sz w:val="32"/>
          <w:szCs w:val="32"/>
        </w:rPr>
      </w:pPr>
    </w:p>
    <w:p w:rsidR="00172586" w:rsidRDefault="0088422D" w:rsidP="00FB3A38">
      <w:pPr>
        <w:pStyle w:val="2"/>
        <w:numPr>
          <w:ilvl w:val="0"/>
          <w:numId w:val="4"/>
        </w:numPr>
        <w:spacing w:line="580" w:lineRule="exact"/>
        <w:ind w:firstLineChars="200" w:firstLine="640"/>
        <w:jc w:val="center"/>
      </w:pPr>
      <w:bookmarkStart w:id="2" w:name="_Toc9770"/>
      <w:bookmarkStart w:id="3" w:name="_Toc39591346"/>
      <w:r>
        <w:rPr>
          <w:rFonts w:hint="eastAsia"/>
        </w:rPr>
        <w:t xml:space="preserve">   </w:t>
      </w:r>
      <w:r w:rsidR="00172586">
        <w:t>党的组织设置</w:t>
      </w:r>
      <w:bookmarkEnd w:id="2"/>
      <w:bookmarkEnd w:id="3"/>
    </w:p>
    <w:p w:rsidR="00172586" w:rsidRDefault="00172586" w:rsidP="00FB3A38">
      <w:pPr>
        <w:spacing w:line="580" w:lineRule="exact"/>
        <w:ind w:firstLineChars="200" w:firstLine="420"/>
      </w:pPr>
    </w:p>
    <w:p w:rsidR="00172586" w:rsidRDefault="00172586" w:rsidP="002803BD">
      <w:pPr>
        <w:spacing w:line="580" w:lineRule="exact"/>
        <w:ind w:firstLineChars="200" w:firstLine="640"/>
        <w:jc w:val="left"/>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第三条</w:t>
      </w:r>
      <w:r>
        <w:rPr>
          <w:rFonts w:ascii="仿宋_GB2312" w:eastAsia="仿宋_GB2312" w:hAnsi="Times New Roman" w:hint="eastAsia"/>
          <w:color w:val="000000"/>
          <w:sz w:val="32"/>
          <w:szCs w:val="32"/>
        </w:rPr>
        <w:t>基本设置形式：党员人数3人以上、50人以下的，设立党支部；党员人数50人以上、100人以下的，可以设立党的总支部委员会；党员人数100人以上的，可以设立党的委员会，党的委员会下设若干党的总支部委员会或党支部。</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第四条</w:t>
      </w:r>
      <w:r>
        <w:rPr>
          <w:rFonts w:ascii="仿宋_GB2312" w:eastAsia="仿宋_GB2312" w:hAnsi="Times New Roman" w:hint="eastAsia"/>
          <w:color w:val="000000"/>
          <w:sz w:val="32"/>
          <w:szCs w:val="32"/>
        </w:rPr>
        <w:t>所属基层党组织设置：一般以本单位内设机构设立党组织；正式党员不足3名的，可以按工作性质相近、便于开展党的活动的原则联合建立党组织。</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第五条</w:t>
      </w:r>
      <w:r>
        <w:rPr>
          <w:rFonts w:ascii="仿宋_GB2312" w:eastAsia="仿宋_GB2312" w:hAnsi="Times New Roman" w:hint="eastAsia"/>
          <w:color w:val="000000"/>
          <w:sz w:val="32"/>
          <w:szCs w:val="32"/>
        </w:rPr>
        <w:t>设置调整：每年对党组织设置情况进行1次摸底，做到设置规范、调整及时。</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第六条</w:t>
      </w:r>
      <w:r>
        <w:rPr>
          <w:rFonts w:ascii="仿宋_GB2312" w:eastAsia="仿宋_GB2312" w:hAnsi="Times New Roman" w:hint="eastAsia"/>
          <w:color w:val="000000"/>
          <w:sz w:val="32"/>
          <w:szCs w:val="32"/>
        </w:rPr>
        <w:t>纪检机构：党委设立党的纪律检查委员会；设委</w:t>
      </w:r>
      <w:r>
        <w:rPr>
          <w:rFonts w:ascii="仿宋_GB2312" w:eastAsia="仿宋_GB2312" w:hAnsi="Times New Roman" w:hint="eastAsia"/>
          <w:color w:val="000000"/>
          <w:sz w:val="32"/>
          <w:szCs w:val="32"/>
        </w:rPr>
        <w:lastRenderedPageBreak/>
        <w:t>员会的党支部设纪律检查委员；不设委员会的支部，应指定专人负责纪检工作。</w:t>
      </w:r>
    </w:p>
    <w:p w:rsidR="00172586" w:rsidRDefault="00172586" w:rsidP="00FB3A38">
      <w:pPr>
        <w:spacing w:line="580" w:lineRule="exact"/>
        <w:ind w:firstLineChars="200" w:firstLine="640"/>
        <w:rPr>
          <w:rFonts w:ascii="仿宋_GB2312" w:eastAsia="仿宋_GB2312" w:hAnsi="Times New Roman"/>
          <w:color w:val="000000"/>
          <w:sz w:val="32"/>
          <w:szCs w:val="32"/>
        </w:rPr>
      </w:pPr>
    </w:p>
    <w:p w:rsidR="00172586" w:rsidRDefault="00172586" w:rsidP="00FB3A38">
      <w:pPr>
        <w:pStyle w:val="2"/>
        <w:spacing w:line="580" w:lineRule="exact"/>
        <w:ind w:firstLineChars="200" w:firstLine="640"/>
        <w:jc w:val="center"/>
      </w:pPr>
      <w:bookmarkStart w:id="4" w:name="_Toc39591347"/>
      <w:bookmarkStart w:id="5" w:name="_Toc5327"/>
      <w:r>
        <w:rPr>
          <w:rFonts w:hint="eastAsia"/>
        </w:rPr>
        <w:t>第三章</w:t>
      </w:r>
      <w:r>
        <w:rPr>
          <w:rFonts w:hint="eastAsia"/>
        </w:rPr>
        <w:t xml:space="preserve"> </w:t>
      </w:r>
      <w:r w:rsidR="0088422D">
        <w:rPr>
          <w:rFonts w:hint="eastAsia"/>
        </w:rPr>
        <w:t xml:space="preserve"> </w:t>
      </w:r>
      <w:r>
        <w:t>班子队伍建设</w:t>
      </w:r>
      <w:bookmarkEnd w:id="4"/>
      <w:bookmarkEnd w:id="5"/>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第七条</w:t>
      </w:r>
      <w:r>
        <w:rPr>
          <w:rFonts w:ascii="仿宋_GB2312" w:eastAsia="仿宋_GB2312" w:hAnsi="Times New Roman" w:hint="eastAsia"/>
          <w:color w:val="000000"/>
          <w:sz w:val="32"/>
          <w:szCs w:val="32"/>
        </w:rPr>
        <w:t>班子职数：党员数不足7人的党支部，一般不设支部委员会，只设书记1人，必要时可增设副书记1人。党的支部委员会一般设委员3-5人，其中书记1人。党总支、党委一般5至9人，其中书记1人。</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第八条</w:t>
      </w:r>
      <w:r>
        <w:rPr>
          <w:rFonts w:ascii="仿宋_GB2312" w:eastAsia="仿宋_GB2312" w:hAnsi="Times New Roman" w:hint="eastAsia"/>
          <w:color w:val="000000"/>
          <w:sz w:val="32"/>
          <w:szCs w:val="32"/>
        </w:rPr>
        <w:t>支部班子任期：党的总支部委员会每届任期3年；党的支部委员会和不设支部委员会的支部书记、副书记，每届任期3年；党的纪律检查委员会与同级党的委员会任期一致。期满按时换届，严格执行基层党组织换届情况定期报告制度。</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第九条</w:t>
      </w:r>
      <w:r>
        <w:rPr>
          <w:rFonts w:ascii="仿宋_GB2312" w:eastAsia="仿宋_GB2312" w:hAnsi="Times New Roman" w:hint="eastAsia"/>
          <w:color w:val="000000"/>
          <w:sz w:val="32"/>
          <w:szCs w:val="32"/>
        </w:rPr>
        <w:t>骨干队伍：党组织书记一般由本部门一把手兼任。专职党务工作人员一般由部门正式干警担任。</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第十条</w:t>
      </w:r>
      <w:r>
        <w:rPr>
          <w:rFonts w:ascii="仿宋_GB2312" w:eastAsia="仿宋_GB2312" w:hAnsi="Times New Roman" w:hint="eastAsia"/>
          <w:color w:val="000000"/>
          <w:sz w:val="32"/>
          <w:szCs w:val="32"/>
        </w:rPr>
        <w:t>自身建设：基层党组织书记、副书记每年至少脱产参加1次党务工作培训，新任基层党组织负责人应参加任职培训，定期安排党务工作人员特别是基层党组织负责人到党员干部培训机构轮训。班子思想政治、履职能力、工作作风、廉洁自律建设制度健全。</w:t>
      </w:r>
    </w:p>
    <w:p w:rsidR="00172586" w:rsidRDefault="00172586" w:rsidP="00FB3A38">
      <w:pPr>
        <w:spacing w:line="580" w:lineRule="exact"/>
        <w:ind w:firstLineChars="200" w:firstLine="640"/>
        <w:rPr>
          <w:rFonts w:ascii="仿宋_GB2312" w:eastAsia="仿宋_GB2312" w:hAnsi="Times New Roman"/>
          <w:color w:val="000000"/>
          <w:sz w:val="32"/>
          <w:szCs w:val="32"/>
        </w:rPr>
      </w:pPr>
    </w:p>
    <w:p w:rsidR="00172586" w:rsidRDefault="00CA0309" w:rsidP="00CA0309">
      <w:pPr>
        <w:pStyle w:val="2"/>
        <w:spacing w:line="580" w:lineRule="exact"/>
        <w:ind w:firstLineChars="850" w:firstLine="2720"/>
      </w:pPr>
      <w:bookmarkStart w:id="6" w:name="_Toc39591348"/>
      <w:bookmarkStart w:id="7" w:name="_Toc21300"/>
      <w:r>
        <w:rPr>
          <w:rFonts w:hint="eastAsia"/>
        </w:rPr>
        <w:t>第四章</w:t>
      </w:r>
      <w:r>
        <w:rPr>
          <w:rFonts w:hint="eastAsia"/>
        </w:rPr>
        <w:t xml:space="preserve">    </w:t>
      </w:r>
      <w:r w:rsidR="00172586">
        <w:t>党员教育管理</w:t>
      </w:r>
      <w:bookmarkEnd w:id="6"/>
      <w:bookmarkEnd w:id="7"/>
    </w:p>
    <w:p w:rsidR="00172586" w:rsidRDefault="00172586" w:rsidP="00FB3A38">
      <w:pPr>
        <w:spacing w:line="580" w:lineRule="exact"/>
        <w:ind w:firstLineChars="200" w:firstLine="420"/>
      </w:pPr>
    </w:p>
    <w:p w:rsidR="00172586" w:rsidRDefault="00172586" w:rsidP="002803BD">
      <w:pPr>
        <w:widowControl/>
        <w:spacing w:line="580" w:lineRule="exact"/>
        <w:ind w:firstLineChars="200" w:firstLine="640"/>
        <w:jc w:val="left"/>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lastRenderedPageBreak/>
        <w:t>第十一条</w:t>
      </w:r>
      <w:r>
        <w:rPr>
          <w:rFonts w:ascii="仿宋_GB2312" w:eastAsia="仿宋_GB2312" w:hAnsi="Times New Roman" w:hint="eastAsia"/>
          <w:color w:val="000000"/>
          <w:sz w:val="32"/>
          <w:szCs w:val="32"/>
        </w:rPr>
        <w:t>发展党员工作：</w:t>
      </w:r>
      <w:r>
        <w:rPr>
          <w:rFonts w:ascii="仿宋_GB2312" w:eastAsia="仿宋_GB2312" w:hAnsi="Times New Roman" w:hint="eastAsia"/>
          <w:color w:val="000000"/>
          <w:kern w:val="0"/>
          <w:sz w:val="32"/>
          <w:szCs w:val="32"/>
        </w:rPr>
        <w:t>发展党员有计划，发展党员工作坚持标准、规范程序、保证质量。入党积极分子培养时间不少于6个月，发展对象培养时间不少于一年。</w:t>
      </w:r>
    </w:p>
    <w:p w:rsidR="00172586" w:rsidRDefault="00172586" w:rsidP="002803BD">
      <w:pPr>
        <w:widowControl/>
        <w:spacing w:line="580" w:lineRule="exact"/>
        <w:ind w:firstLineChars="200" w:firstLine="640"/>
        <w:jc w:val="left"/>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第十二条</w:t>
      </w:r>
      <w:r>
        <w:rPr>
          <w:rFonts w:ascii="仿宋_GB2312" w:eastAsia="仿宋_GB2312" w:hAnsi="Times New Roman" w:hint="eastAsia"/>
          <w:color w:val="000000"/>
          <w:sz w:val="32"/>
          <w:szCs w:val="32"/>
        </w:rPr>
        <w:t>党员教</w:t>
      </w:r>
      <w:r>
        <w:rPr>
          <w:rFonts w:ascii="仿宋_GB2312" w:eastAsia="仿宋_GB2312" w:hAnsi="Times New Roman" w:hint="eastAsia"/>
          <w:sz w:val="32"/>
          <w:szCs w:val="32"/>
        </w:rPr>
        <w:t>育培训：</w:t>
      </w:r>
      <w:r>
        <w:rPr>
          <w:rFonts w:ascii="仿宋_GB2312" w:eastAsia="仿宋_GB2312" w:hAnsi="Times New Roman" w:hint="eastAsia"/>
          <w:kern w:val="0"/>
          <w:sz w:val="32"/>
          <w:szCs w:val="32"/>
        </w:rPr>
        <w:t>党员每年集中学习培训时间，一般不少于32学时。基层党组织书记和班子成员每年集中学习培训时间不少于56学</w:t>
      </w:r>
      <w:r>
        <w:rPr>
          <w:rFonts w:ascii="仿宋_GB2312" w:eastAsia="仿宋_GB2312" w:hAnsi="Times New Roman" w:hint="eastAsia"/>
          <w:color w:val="000000"/>
          <w:kern w:val="0"/>
          <w:sz w:val="32"/>
          <w:szCs w:val="32"/>
        </w:rPr>
        <w:t>时，经常性教育有措施，集中培训有记录。</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第十三条</w:t>
      </w:r>
      <w:r>
        <w:rPr>
          <w:rFonts w:ascii="仿宋_GB2312" w:eastAsia="仿宋_GB2312" w:hAnsi="Times New Roman" w:hint="eastAsia"/>
          <w:color w:val="000000"/>
          <w:sz w:val="32"/>
          <w:szCs w:val="32"/>
        </w:rPr>
        <w:t>党费收缴管理：</w:t>
      </w:r>
      <w:r>
        <w:rPr>
          <w:rFonts w:ascii="仿宋_GB2312" w:eastAsia="仿宋_GB2312" w:hAnsi="Times New Roman" w:hint="eastAsia"/>
          <w:color w:val="000000"/>
          <w:kern w:val="0"/>
          <w:sz w:val="32"/>
          <w:szCs w:val="32"/>
        </w:rPr>
        <w:t>及时核定党员交纳党费具体数额，党员自觉按时足额交纳党费，每半年公布1次收缴情况。单独设立党费管理账户的部门单位，严格执行财务管理制度，党费使用符合相关规定。</w:t>
      </w:r>
    </w:p>
    <w:p w:rsidR="00172586" w:rsidRDefault="00172586" w:rsidP="002803BD">
      <w:pPr>
        <w:widowControl/>
        <w:spacing w:line="580" w:lineRule="exact"/>
        <w:ind w:firstLineChars="200" w:firstLine="640"/>
        <w:jc w:val="left"/>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第十四条</w:t>
      </w:r>
      <w:r>
        <w:rPr>
          <w:rFonts w:ascii="仿宋_GB2312" w:eastAsia="仿宋_GB2312" w:hAnsi="Times New Roman" w:hint="eastAsia"/>
          <w:color w:val="000000"/>
          <w:sz w:val="32"/>
          <w:szCs w:val="32"/>
        </w:rPr>
        <w:t>组织关系管理：</w:t>
      </w:r>
      <w:r>
        <w:rPr>
          <w:rFonts w:ascii="仿宋_GB2312" w:eastAsia="仿宋_GB2312" w:hAnsi="Times New Roman" w:hint="eastAsia"/>
          <w:color w:val="000000"/>
          <w:kern w:val="0"/>
          <w:sz w:val="32"/>
          <w:szCs w:val="32"/>
        </w:rPr>
        <w:t>每年对党员组织关系进行2次集中排查，党员组织关系隶属清楚，每名党员都纳入党的一个基层组织；积极开展党员组织关系网上转接，组织关系转接工作规范有序。</w:t>
      </w:r>
    </w:p>
    <w:p w:rsidR="00172586" w:rsidRDefault="00172586" w:rsidP="002803BD">
      <w:pPr>
        <w:spacing w:line="580" w:lineRule="exact"/>
        <w:ind w:firstLineChars="200" w:firstLine="640"/>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第十五条</w:t>
      </w:r>
      <w:r>
        <w:rPr>
          <w:rFonts w:ascii="仿宋_GB2312" w:eastAsia="仿宋_GB2312" w:hAnsi="Times New Roman" w:hint="eastAsia"/>
          <w:color w:val="000000"/>
          <w:sz w:val="32"/>
          <w:szCs w:val="32"/>
        </w:rPr>
        <w:t>党内激励关怀：</w:t>
      </w:r>
      <w:r>
        <w:rPr>
          <w:rFonts w:ascii="仿宋_GB2312" w:eastAsia="仿宋_GB2312" w:hAnsi="Times New Roman" w:hint="eastAsia"/>
          <w:color w:val="000000"/>
          <w:kern w:val="0"/>
          <w:sz w:val="32"/>
          <w:szCs w:val="32"/>
        </w:rPr>
        <w:t>动态建立困难党员台账，经常开展关怀帮扶活动；每年开展1次党内表彰活动。</w:t>
      </w:r>
    </w:p>
    <w:p w:rsidR="00172586" w:rsidRDefault="00172586" w:rsidP="00FB3A38">
      <w:pPr>
        <w:spacing w:line="580" w:lineRule="exact"/>
        <w:ind w:firstLineChars="200" w:firstLine="640"/>
        <w:rPr>
          <w:rFonts w:ascii="Times New Roman" w:hAnsi="Times New Roman"/>
          <w:color w:val="000000"/>
          <w:kern w:val="0"/>
          <w:sz w:val="32"/>
          <w:szCs w:val="32"/>
        </w:rPr>
      </w:pPr>
    </w:p>
    <w:p w:rsidR="00172586" w:rsidRDefault="00172586" w:rsidP="00FB3A38">
      <w:pPr>
        <w:pStyle w:val="2"/>
        <w:numPr>
          <w:ilvl w:val="0"/>
          <w:numId w:val="5"/>
        </w:numPr>
        <w:spacing w:line="580" w:lineRule="exact"/>
        <w:ind w:firstLineChars="200" w:firstLine="640"/>
        <w:jc w:val="center"/>
      </w:pPr>
      <w:bookmarkStart w:id="8" w:name="_Toc16696"/>
      <w:bookmarkStart w:id="9" w:name="_Toc39591349"/>
      <w:r>
        <w:t>党内组织生活</w:t>
      </w:r>
      <w:bookmarkEnd w:id="8"/>
      <w:bookmarkEnd w:id="9"/>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第十六条</w:t>
      </w:r>
      <w:r>
        <w:rPr>
          <w:rFonts w:ascii="仿宋_GB2312" w:eastAsia="仿宋_GB2312" w:hAnsi="Times New Roman" w:hint="eastAsia"/>
          <w:color w:val="000000"/>
          <w:sz w:val="32"/>
          <w:szCs w:val="32"/>
        </w:rPr>
        <w:t>“三会一课”：支部党员大会一般每季度召开1次，支部委员会一般每月召开1次，党小组会一般每月召开1次，每季度上1次党课。领导干部每年至少到所在支部讲1次党课，并以普通党员的身份参加所在党支部或党小组组</w:t>
      </w:r>
      <w:r>
        <w:rPr>
          <w:rFonts w:ascii="仿宋_GB2312" w:eastAsia="仿宋_GB2312" w:hAnsi="Times New Roman" w:hint="eastAsia"/>
          <w:color w:val="000000"/>
          <w:sz w:val="32"/>
          <w:szCs w:val="32"/>
        </w:rPr>
        <w:lastRenderedPageBreak/>
        <w:t>织生活。</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第十七条</w:t>
      </w:r>
      <w:r>
        <w:rPr>
          <w:rFonts w:ascii="仿宋_GB2312" w:eastAsia="仿宋_GB2312" w:hAnsi="Times New Roman" w:hint="eastAsia"/>
          <w:color w:val="000000"/>
          <w:sz w:val="32"/>
          <w:szCs w:val="32"/>
        </w:rPr>
        <w:t>民主评议党员：支部每年开展1次民主评议党员工作，开展党性分析，对党员进行评议，确定评议等次。可结合组织生活会开展，</w:t>
      </w:r>
      <w:r>
        <w:rPr>
          <w:rFonts w:ascii="仿宋_GB2312" w:eastAsia="仿宋_GB2312" w:hAnsi="Times New Roman" w:hint="eastAsia"/>
          <w:color w:val="000000"/>
          <w:kern w:val="0"/>
          <w:sz w:val="32"/>
          <w:szCs w:val="32"/>
        </w:rPr>
        <w:t>稳妥慎重处置不合格党员。</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第十八条</w:t>
      </w:r>
      <w:r>
        <w:rPr>
          <w:rFonts w:ascii="仿宋_GB2312" w:eastAsia="仿宋_GB2312" w:hAnsi="Times New Roman" w:hint="eastAsia"/>
          <w:color w:val="000000"/>
          <w:sz w:val="32"/>
          <w:szCs w:val="32"/>
        </w:rPr>
        <w:t>组织生活会：支部每年至少召开1次党员组织生活会。遇有重要情况，及时召开。</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第十九条</w:t>
      </w:r>
      <w:r>
        <w:rPr>
          <w:rFonts w:ascii="仿宋_GB2312" w:eastAsia="仿宋_GB2312" w:hAnsi="Times New Roman" w:hint="eastAsia"/>
          <w:color w:val="000000"/>
          <w:sz w:val="32"/>
          <w:szCs w:val="32"/>
        </w:rPr>
        <w:t>民主生活会：党委每年至少召开1次班子成员民主生活会，会议召开情况及时通报。</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第二十条</w:t>
      </w:r>
      <w:r>
        <w:rPr>
          <w:rFonts w:ascii="仿宋_GB2312" w:eastAsia="仿宋_GB2312" w:hAnsi="Times New Roman" w:hint="eastAsia"/>
          <w:color w:val="000000"/>
          <w:sz w:val="32"/>
          <w:szCs w:val="32"/>
        </w:rPr>
        <w:t>双重组织生活：领导干部严格执行双重组织生活制度。</w:t>
      </w:r>
    </w:p>
    <w:p w:rsidR="00172586" w:rsidRDefault="00172586" w:rsidP="002803BD">
      <w:pPr>
        <w:spacing w:line="580" w:lineRule="exact"/>
        <w:ind w:firstLineChars="200" w:firstLine="640"/>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第二十一条</w:t>
      </w:r>
      <w:r>
        <w:rPr>
          <w:rFonts w:ascii="仿宋_GB2312" w:eastAsia="仿宋_GB2312" w:hAnsi="Times New Roman" w:hint="eastAsia"/>
          <w:color w:val="000000"/>
          <w:sz w:val="32"/>
          <w:szCs w:val="32"/>
        </w:rPr>
        <w:t>主题党日：</w:t>
      </w:r>
      <w:r>
        <w:rPr>
          <w:rFonts w:ascii="仿宋_GB2312" w:eastAsia="仿宋_GB2312" w:hAnsi="Times New Roman" w:hint="eastAsia"/>
          <w:color w:val="000000"/>
          <w:kern w:val="0"/>
          <w:sz w:val="32"/>
          <w:szCs w:val="32"/>
        </w:rPr>
        <w:t>建立“主题党日”制度，每月固定1天，组织党员开展活动或学习，活动记录规范。</w:t>
      </w:r>
    </w:p>
    <w:p w:rsidR="00172586" w:rsidRDefault="00172586" w:rsidP="002803BD">
      <w:pPr>
        <w:spacing w:line="580" w:lineRule="exact"/>
        <w:ind w:firstLineChars="200" w:firstLine="640"/>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第二十二条</w:t>
      </w:r>
      <w:r>
        <w:rPr>
          <w:rFonts w:ascii="仿宋_GB2312" w:eastAsia="仿宋_GB2312" w:hAnsi="Times New Roman" w:hint="eastAsia"/>
          <w:color w:val="000000"/>
          <w:sz w:val="32"/>
          <w:szCs w:val="32"/>
        </w:rPr>
        <w:t>组织生活创新</w:t>
      </w:r>
      <w:r>
        <w:rPr>
          <w:rFonts w:ascii="仿宋_GB2312" w:eastAsia="仿宋_GB2312" w:hAnsi="Times New Roman" w:hint="eastAsia"/>
          <w:color w:val="000000"/>
          <w:kern w:val="0"/>
          <w:sz w:val="32"/>
          <w:szCs w:val="32"/>
        </w:rPr>
        <w:t>：紧密结合部门工作实际和党员群体特点，注重运用“新时代e支部btx建设”等信息化手段，不断提高组织生活的吸引力和实效性。</w:t>
      </w:r>
    </w:p>
    <w:p w:rsidR="00172586" w:rsidRDefault="00172586" w:rsidP="00FB3A38">
      <w:pPr>
        <w:spacing w:line="580" w:lineRule="exact"/>
        <w:ind w:firstLineChars="200" w:firstLine="640"/>
        <w:rPr>
          <w:rFonts w:ascii="仿宋_GB2312" w:eastAsia="仿宋_GB2312" w:hAnsi="Times New Roman"/>
          <w:color w:val="000000"/>
          <w:kern w:val="0"/>
          <w:sz w:val="32"/>
          <w:szCs w:val="32"/>
        </w:rPr>
      </w:pPr>
    </w:p>
    <w:p w:rsidR="00172586" w:rsidRDefault="00172586" w:rsidP="00FB3A38">
      <w:pPr>
        <w:pStyle w:val="2"/>
        <w:numPr>
          <w:ilvl w:val="0"/>
          <w:numId w:val="5"/>
        </w:numPr>
        <w:spacing w:line="580" w:lineRule="exact"/>
        <w:ind w:firstLineChars="200" w:firstLine="640"/>
        <w:jc w:val="center"/>
      </w:pPr>
      <w:bookmarkStart w:id="10" w:name="_Toc25347"/>
      <w:bookmarkStart w:id="11" w:name="_Toc39591350"/>
      <w:r>
        <w:t>发挥作用途径</w:t>
      </w:r>
      <w:bookmarkEnd w:id="10"/>
      <w:bookmarkEnd w:id="11"/>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第二十三条</w:t>
      </w:r>
      <w:r>
        <w:rPr>
          <w:rFonts w:ascii="仿宋_GB2312" w:eastAsia="仿宋_GB2312" w:hAnsi="Times New Roman" w:hint="eastAsia"/>
          <w:color w:val="000000"/>
          <w:sz w:val="32"/>
          <w:szCs w:val="32"/>
        </w:rPr>
        <w:t>服务中心工作：机关党组织围绕服务中心、建设队伍搞好服务，保证、监督党的路线方针政策，以及省、市委和上级党组织的决定在本支部的贯彻执行。党组织的协助和监督作用得到充分发挥，促进本支部按时按质完成各项任务。</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第二十四条</w:t>
      </w:r>
      <w:r>
        <w:rPr>
          <w:rFonts w:ascii="仿宋_GB2312" w:eastAsia="仿宋_GB2312" w:hAnsi="Times New Roman" w:hint="eastAsia"/>
          <w:color w:val="000000"/>
          <w:sz w:val="32"/>
          <w:szCs w:val="32"/>
        </w:rPr>
        <w:t>加强党内监督：定期检查党员参加组织生活</w:t>
      </w:r>
      <w:r>
        <w:rPr>
          <w:rFonts w:ascii="仿宋_GB2312" w:eastAsia="仿宋_GB2312" w:hAnsi="Times New Roman" w:hint="eastAsia"/>
          <w:color w:val="000000"/>
          <w:sz w:val="32"/>
          <w:szCs w:val="32"/>
        </w:rPr>
        <w:lastRenderedPageBreak/>
        <w:t>情况，督促按期开好党员领导干部民主生活会并如实向上级党组织报告，按规定查处党组织和党员违纪行为。支持党员行使监督权利，履行监督责任，党员监督作用充分发挥。</w:t>
      </w: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第二十五条</w:t>
      </w:r>
      <w:r>
        <w:rPr>
          <w:rFonts w:ascii="仿宋_GB2312" w:eastAsia="仿宋_GB2312" w:hAnsi="Times New Roman" w:hint="eastAsia"/>
          <w:color w:val="000000"/>
          <w:sz w:val="32"/>
          <w:szCs w:val="32"/>
        </w:rPr>
        <w:t>做好思想政治工作：经常性开展谈心活动、分析党员思想状况，及时解决思想问题，定期向上级党组织和本部门本单位负责人汇报思想政治工作情况，提出改进的意见和建议。</w:t>
      </w:r>
    </w:p>
    <w:p w:rsidR="00172586" w:rsidRDefault="00172586" w:rsidP="00FB3A38">
      <w:pPr>
        <w:spacing w:line="580" w:lineRule="exact"/>
        <w:ind w:firstLineChars="200" w:firstLine="640"/>
        <w:rPr>
          <w:rFonts w:ascii="仿宋_GB2312" w:eastAsia="仿宋_GB2312" w:hAnsi="Times New Roman"/>
          <w:color w:val="000000"/>
          <w:sz w:val="32"/>
          <w:szCs w:val="32"/>
        </w:rPr>
      </w:pPr>
    </w:p>
    <w:p w:rsidR="00172586" w:rsidRDefault="00172586" w:rsidP="00FB3A38">
      <w:pPr>
        <w:pStyle w:val="2"/>
        <w:numPr>
          <w:ilvl w:val="0"/>
          <w:numId w:val="5"/>
        </w:numPr>
        <w:spacing w:line="580" w:lineRule="exact"/>
        <w:ind w:firstLineChars="200" w:firstLine="640"/>
        <w:jc w:val="center"/>
      </w:pPr>
      <w:bookmarkStart w:id="12" w:name="_Toc17357"/>
      <w:bookmarkStart w:id="13" w:name="_Toc39591351"/>
      <w:r>
        <w:t>工作运行机制</w:t>
      </w:r>
      <w:bookmarkEnd w:id="12"/>
      <w:bookmarkEnd w:id="13"/>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第二十六条</w:t>
      </w:r>
      <w:r>
        <w:rPr>
          <w:rFonts w:ascii="仿宋_GB2312" w:eastAsia="仿宋_GB2312" w:hAnsi="Times New Roman" w:hint="eastAsia"/>
          <w:color w:val="000000"/>
          <w:sz w:val="32"/>
          <w:szCs w:val="32"/>
        </w:rPr>
        <w:t>民主议事机制：</w:t>
      </w:r>
      <w:r>
        <w:rPr>
          <w:rFonts w:ascii="仿宋_GB2312" w:eastAsia="仿宋_GB2312" w:hAnsi="Times New Roman" w:hint="eastAsia"/>
          <w:color w:val="000000"/>
          <w:kern w:val="0"/>
          <w:sz w:val="32"/>
          <w:szCs w:val="32"/>
        </w:rPr>
        <w:t>党务公开、</w:t>
      </w:r>
      <w:r>
        <w:rPr>
          <w:rFonts w:ascii="仿宋_GB2312" w:eastAsia="仿宋_GB2312" w:hAnsi="Times New Roman" w:hint="eastAsia"/>
          <w:color w:val="000000"/>
          <w:sz w:val="32"/>
          <w:szCs w:val="32"/>
        </w:rPr>
        <w:t>党内情况通报和党员定期评议党组织领导班子成员等制度健全。党员对党组织事务的知情权、参与权、选举权、监督权落实到位，党员主体地位和民主权利保障有力。</w:t>
      </w:r>
    </w:p>
    <w:p w:rsidR="00172586" w:rsidRDefault="00172586" w:rsidP="002803BD">
      <w:pPr>
        <w:spacing w:line="580" w:lineRule="exact"/>
        <w:ind w:firstLineChars="200" w:firstLine="640"/>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第二十七条</w:t>
      </w:r>
      <w:r>
        <w:rPr>
          <w:rFonts w:ascii="仿宋_GB2312" w:eastAsia="仿宋_GB2312" w:hAnsi="Times New Roman" w:hint="eastAsia"/>
          <w:color w:val="000000"/>
          <w:sz w:val="32"/>
          <w:szCs w:val="32"/>
        </w:rPr>
        <w:t>联系服务机制：在职党员到社区报到、党员干部直接联系服务群众等扎实开展，</w:t>
      </w:r>
      <w:r>
        <w:rPr>
          <w:rFonts w:ascii="仿宋_GB2312" w:eastAsia="仿宋_GB2312" w:hAnsi="Times New Roman" w:hint="eastAsia"/>
          <w:color w:val="000000"/>
          <w:kern w:val="0"/>
          <w:sz w:val="32"/>
          <w:szCs w:val="32"/>
        </w:rPr>
        <w:t>窗口单位党员示范岗等活动深入实施。</w:t>
      </w:r>
    </w:p>
    <w:p w:rsidR="00172586" w:rsidRDefault="00172586" w:rsidP="002803BD">
      <w:pPr>
        <w:spacing w:line="580" w:lineRule="exact"/>
        <w:ind w:firstLineChars="200" w:firstLine="640"/>
        <w:rPr>
          <w:rFonts w:ascii="仿宋_GB2312" w:eastAsia="仿宋_GB2312" w:hAnsi="Times New Roman"/>
          <w:color w:val="000000"/>
          <w:kern w:val="0"/>
          <w:sz w:val="32"/>
          <w:szCs w:val="32"/>
        </w:rPr>
      </w:pPr>
      <w:r>
        <w:rPr>
          <w:rFonts w:ascii="楷体_GB2312" w:eastAsia="楷体_GB2312" w:hAnsi="楷体_GB2312" w:cs="楷体_GB2312" w:hint="eastAsia"/>
          <w:b/>
          <w:bCs/>
          <w:sz w:val="32"/>
          <w:szCs w:val="32"/>
        </w:rPr>
        <w:t>第二十八条</w:t>
      </w:r>
      <w:r>
        <w:rPr>
          <w:rFonts w:ascii="仿宋_GB2312" w:eastAsia="仿宋_GB2312" w:hAnsi="Times New Roman" w:hint="eastAsia"/>
          <w:color w:val="000000"/>
          <w:sz w:val="32"/>
          <w:szCs w:val="32"/>
        </w:rPr>
        <w:t>责任落实机制：</w:t>
      </w:r>
      <w:r>
        <w:rPr>
          <w:rFonts w:ascii="仿宋_GB2312" w:eastAsia="仿宋_GB2312" w:hAnsi="Times New Roman" w:hint="eastAsia"/>
          <w:color w:val="000000"/>
          <w:kern w:val="0"/>
          <w:sz w:val="32"/>
          <w:szCs w:val="32"/>
        </w:rPr>
        <w:t>基层党组织每年向上级党组织报告1次工作，每年开展1次基层党组织书记抓基层党建工作述职评议考核。</w:t>
      </w:r>
    </w:p>
    <w:p w:rsidR="00172586" w:rsidRDefault="0088422D" w:rsidP="00FB3A38">
      <w:pPr>
        <w:pStyle w:val="2"/>
        <w:numPr>
          <w:ilvl w:val="0"/>
          <w:numId w:val="5"/>
        </w:numPr>
        <w:spacing w:line="580" w:lineRule="exact"/>
        <w:ind w:firstLineChars="200" w:firstLine="640"/>
        <w:jc w:val="center"/>
      </w:pPr>
      <w:bookmarkStart w:id="14" w:name="_Toc39591352"/>
      <w:bookmarkStart w:id="15" w:name="_Toc29147"/>
      <w:r>
        <w:rPr>
          <w:rFonts w:hint="eastAsia"/>
        </w:rPr>
        <w:t xml:space="preserve"> </w:t>
      </w:r>
      <w:r w:rsidR="00172586">
        <w:t>基本工作保障</w:t>
      </w:r>
      <w:bookmarkEnd w:id="14"/>
      <w:bookmarkEnd w:id="15"/>
    </w:p>
    <w:p w:rsidR="00172586" w:rsidRDefault="00172586" w:rsidP="00FB3A38">
      <w:pPr>
        <w:spacing w:line="580" w:lineRule="exact"/>
        <w:ind w:firstLineChars="200" w:firstLine="420"/>
      </w:pPr>
    </w:p>
    <w:p w:rsid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第二十九条</w:t>
      </w:r>
      <w:r>
        <w:rPr>
          <w:rFonts w:ascii="仿宋_GB2312" w:eastAsia="仿宋_GB2312" w:hAnsi="Times New Roman" w:hint="eastAsia"/>
          <w:color w:val="000000"/>
          <w:sz w:val="32"/>
          <w:szCs w:val="32"/>
        </w:rPr>
        <w:t>场所保障：有固定活动场所，并达到有场所、有设施、有标志、有党旗、有书报、有制度的“六有”标准。</w:t>
      </w:r>
      <w:r>
        <w:rPr>
          <w:rFonts w:ascii="仿宋_GB2312" w:eastAsia="仿宋_GB2312" w:hAnsi="Times New Roman" w:hint="eastAsia"/>
          <w:color w:val="000000"/>
          <w:sz w:val="32"/>
          <w:szCs w:val="32"/>
        </w:rPr>
        <w:lastRenderedPageBreak/>
        <w:t>以各级党的直属机关工作委员会或主管部门为单位统一活动场所标识、制度。党组织标牌悬挂在醒目位置；室内上墙制度简明规范，一般为组织架构、岗位职责、党内生活等基本制度。党务公开栏设置规范，公开内容简单明了、党内信息公布及时。</w:t>
      </w:r>
    </w:p>
    <w:p w:rsidR="00035939" w:rsidRPr="00172586" w:rsidRDefault="00172586" w:rsidP="002803BD">
      <w:pPr>
        <w:spacing w:line="580" w:lineRule="exact"/>
        <w:ind w:firstLineChars="200" w:firstLine="640"/>
        <w:rPr>
          <w:rFonts w:ascii="仿宋_GB2312" w:eastAsia="仿宋_GB2312" w:hAnsi="Times New Roman"/>
          <w:color w:val="000000"/>
          <w:sz w:val="32"/>
          <w:szCs w:val="32"/>
        </w:rPr>
      </w:pPr>
      <w:r>
        <w:rPr>
          <w:rFonts w:ascii="楷体_GB2312" w:eastAsia="楷体_GB2312" w:hAnsi="楷体_GB2312" w:cs="楷体_GB2312" w:hint="eastAsia"/>
          <w:b/>
          <w:bCs/>
          <w:sz w:val="32"/>
          <w:szCs w:val="32"/>
        </w:rPr>
        <w:t>第三十条</w:t>
      </w:r>
      <w:r>
        <w:rPr>
          <w:rFonts w:ascii="仿宋_GB2312" w:eastAsia="仿宋_GB2312" w:hAnsi="Times New Roman" w:hint="eastAsia"/>
          <w:color w:val="000000"/>
          <w:sz w:val="32"/>
          <w:szCs w:val="32"/>
        </w:rPr>
        <w:t>经费保障：基层党组织的活动经费，列入单位经费预算，保障工作需要。开展重大活动时，专项经费拨付及时到位。严格执行机关单位财务管理有关制度，活动经费和专项经费管理使用规范。</w:t>
      </w:r>
    </w:p>
    <w:p w:rsidR="00FB3A38" w:rsidRPr="004A7845" w:rsidRDefault="00FB3A38" w:rsidP="004A7845">
      <w:pPr>
        <w:widowControl/>
        <w:jc w:val="left"/>
        <w:rPr>
          <w:rFonts w:ascii="黑体" w:eastAsia="黑体" w:hAnsi="黑体" w:cstheme="minorEastAsia"/>
          <w:sz w:val="32"/>
          <w:szCs w:val="32"/>
        </w:rPr>
      </w:pPr>
    </w:p>
    <w:sectPr w:rsidR="00FB3A38" w:rsidRPr="004A7845" w:rsidSect="00037F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676" w:rsidRDefault="006F6676" w:rsidP="002C2736">
      <w:r>
        <w:separator/>
      </w:r>
    </w:p>
  </w:endnote>
  <w:endnote w:type="continuationSeparator" w:id="1">
    <w:p w:rsidR="006F6676" w:rsidRDefault="006F6676" w:rsidP="002C2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36366"/>
      <w:docPartObj>
        <w:docPartGallery w:val="Page Numbers (Bottom of Page)"/>
        <w:docPartUnique/>
      </w:docPartObj>
    </w:sdtPr>
    <w:sdtContent>
      <w:p w:rsidR="00927A49" w:rsidRDefault="00171E76">
        <w:pPr>
          <w:pStyle w:val="a5"/>
          <w:jc w:val="right"/>
        </w:pPr>
        <w:fldSimple w:instr=" PAGE   \* MERGEFORMAT ">
          <w:r w:rsidR="000D5A7D" w:rsidRPr="000D5A7D">
            <w:rPr>
              <w:noProof/>
              <w:lang w:val="zh-CN"/>
            </w:rPr>
            <w:t>1</w:t>
          </w:r>
        </w:fldSimple>
      </w:p>
    </w:sdtContent>
  </w:sdt>
  <w:p w:rsidR="00927A49" w:rsidRDefault="00927A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676" w:rsidRDefault="006F6676" w:rsidP="002C2736">
      <w:r>
        <w:separator/>
      </w:r>
    </w:p>
  </w:footnote>
  <w:footnote w:type="continuationSeparator" w:id="1">
    <w:p w:rsidR="006F6676" w:rsidRDefault="006F6676" w:rsidP="002C2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21C12"/>
    <w:multiLevelType w:val="singleLevel"/>
    <w:tmpl w:val="80D21C12"/>
    <w:lvl w:ilvl="0">
      <w:start w:val="2"/>
      <w:numFmt w:val="chineseCounting"/>
      <w:suff w:val="space"/>
      <w:lvlText w:val="第%1章"/>
      <w:lvlJc w:val="left"/>
      <w:rPr>
        <w:rFonts w:hint="eastAsia"/>
      </w:rPr>
    </w:lvl>
  </w:abstractNum>
  <w:abstractNum w:abstractNumId="1">
    <w:nsid w:val="146C25C3"/>
    <w:multiLevelType w:val="hybridMultilevel"/>
    <w:tmpl w:val="FB28BB50"/>
    <w:lvl w:ilvl="0" w:tplc="3F8088BC">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C266DD"/>
    <w:multiLevelType w:val="hybridMultilevel"/>
    <w:tmpl w:val="F34EBC9E"/>
    <w:lvl w:ilvl="0" w:tplc="8866587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20447FD"/>
    <w:multiLevelType w:val="singleLevel"/>
    <w:tmpl w:val="320447FD"/>
    <w:lvl w:ilvl="0">
      <w:start w:val="1"/>
      <w:numFmt w:val="chineseCounting"/>
      <w:suff w:val="space"/>
      <w:lvlText w:val="第%1章"/>
      <w:lvlJc w:val="left"/>
      <w:rPr>
        <w:rFonts w:hint="eastAsia"/>
      </w:rPr>
    </w:lvl>
  </w:abstractNum>
  <w:abstractNum w:abstractNumId="4">
    <w:nsid w:val="4CF64F7C"/>
    <w:multiLevelType w:val="hybridMultilevel"/>
    <w:tmpl w:val="AFEEF3B0"/>
    <w:lvl w:ilvl="0" w:tplc="E48681F8">
      <w:start w:val="7"/>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40F6F1"/>
    <w:multiLevelType w:val="singleLevel"/>
    <w:tmpl w:val="5A40F6F1"/>
    <w:lvl w:ilvl="0">
      <w:start w:val="5"/>
      <w:numFmt w:val="chineseCounting"/>
      <w:suff w:val="space"/>
      <w:lvlText w:val="第%1章"/>
      <w:lvlJc w:val="left"/>
      <w:rPr>
        <w:rFonts w:hint="eastAsia"/>
      </w:rPr>
    </w:lvl>
  </w:abstractNum>
  <w:abstractNum w:abstractNumId="6">
    <w:nsid w:val="5C283726"/>
    <w:multiLevelType w:val="hybridMultilevel"/>
    <w:tmpl w:val="D8C44EE6"/>
    <w:lvl w:ilvl="0" w:tplc="87AA0A1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gzYjgyNjU1MjQ5N2Q0ZWY2MWFhYTM5NWE0MDY4MWUifQ=="/>
  </w:docVars>
  <w:rsids>
    <w:rsidRoot w:val="60464D83"/>
    <w:rsid w:val="00032A29"/>
    <w:rsid w:val="00035939"/>
    <w:rsid w:val="00037F28"/>
    <w:rsid w:val="00053636"/>
    <w:rsid w:val="00066B9F"/>
    <w:rsid w:val="00072176"/>
    <w:rsid w:val="0007681E"/>
    <w:rsid w:val="00081A1F"/>
    <w:rsid w:val="00083C93"/>
    <w:rsid w:val="000D5A7D"/>
    <w:rsid w:val="000F29A3"/>
    <w:rsid w:val="00130B33"/>
    <w:rsid w:val="00171E76"/>
    <w:rsid w:val="00171F38"/>
    <w:rsid w:val="00172586"/>
    <w:rsid w:val="00190068"/>
    <w:rsid w:val="001B258E"/>
    <w:rsid w:val="00222EDB"/>
    <w:rsid w:val="00233CFD"/>
    <w:rsid w:val="00240B42"/>
    <w:rsid w:val="002803BD"/>
    <w:rsid w:val="002809FB"/>
    <w:rsid w:val="0028437F"/>
    <w:rsid w:val="002A1EB5"/>
    <w:rsid w:val="002C2736"/>
    <w:rsid w:val="002C782C"/>
    <w:rsid w:val="00302B29"/>
    <w:rsid w:val="00306349"/>
    <w:rsid w:val="00335CAF"/>
    <w:rsid w:val="00363FCD"/>
    <w:rsid w:val="003A3604"/>
    <w:rsid w:val="003B0CAB"/>
    <w:rsid w:val="003D4132"/>
    <w:rsid w:val="003E5CD9"/>
    <w:rsid w:val="00411B73"/>
    <w:rsid w:val="00413EA0"/>
    <w:rsid w:val="0044049C"/>
    <w:rsid w:val="004A3544"/>
    <w:rsid w:val="004A7845"/>
    <w:rsid w:val="004B2576"/>
    <w:rsid w:val="004E0307"/>
    <w:rsid w:val="004E68D0"/>
    <w:rsid w:val="004F3969"/>
    <w:rsid w:val="00525E5D"/>
    <w:rsid w:val="0052674A"/>
    <w:rsid w:val="00536372"/>
    <w:rsid w:val="00545590"/>
    <w:rsid w:val="00555C59"/>
    <w:rsid w:val="00572E75"/>
    <w:rsid w:val="005A6B0D"/>
    <w:rsid w:val="005D396F"/>
    <w:rsid w:val="005F10D7"/>
    <w:rsid w:val="00600ADE"/>
    <w:rsid w:val="00602696"/>
    <w:rsid w:val="00622DA8"/>
    <w:rsid w:val="00624DAE"/>
    <w:rsid w:val="00630F7D"/>
    <w:rsid w:val="00660502"/>
    <w:rsid w:val="00673E0E"/>
    <w:rsid w:val="00681E52"/>
    <w:rsid w:val="006A232C"/>
    <w:rsid w:val="006F50C4"/>
    <w:rsid w:val="006F6676"/>
    <w:rsid w:val="006F730C"/>
    <w:rsid w:val="0070658E"/>
    <w:rsid w:val="007140EE"/>
    <w:rsid w:val="00722E74"/>
    <w:rsid w:val="0077033B"/>
    <w:rsid w:val="00791D27"/>
    <w:rsid w:val="007A1609"/>
    <w:rsid w:val="007D3226"/>
    <w:rsid w:val="007F75BB"/>
    <w:rsid w:val="007F7A2D"/>
    <w:rsid w:val="00811B23"/>
    <w:rsid w:val="00862894"/>
    <w:rsid w:val="00875234"/>
    <w:rsid w:val="0088422D"/>
    <w:rsid w:val="0089572F"/>
    <w:rsid w:val="008D14EB"/>
    <w:rsid w:val="008E4A57"/>
    <w:rsid w:val="00927A49"/>
    <w:rsid w:val="00930F23"/>
    <w:rsid w:val="00961227"/>
    <w:rsid w:val="00962E61"/>
    <w:rsid w:val="00977E30"/>
    <w:rsid w:val="009A7378"/>
    <w:rsid w:val="00A0039F"/>
    <w:rsid w:val="00A215B7"/>
    <w:rsid w:val="00A25C8B"/>
    <w:rsid w:val="00A368D1"/>
    <w:rsid w:val="00A413E2"/>
    <w:rsid w:val="00A8482A"/>
    <w:rsid w:val="00A905FD"/>
    <w:rsid w:val="00AA3A66"/>
    <w:rsid w:val="00AC62D2"/>
    <w:rsid w:val="00AD2313"/>
    <w:rsid w:val="00B2784D"/>
    <w:rsid w:val="00B573A4"/>
    <w:rsid w:val="00B747B7"/>
    <w:rsid w:val="00B74E26"/>
    <w:rsid w:val="00B8360B"/>
    <w:rsid w:val="00BD17F8"/>
    <w:rsid w:val="00BD1883"/>
    <w:rsid w:val="00C24154"/>
    <w:rsid w:val="00C917FB"/>
    <w:rsid w:val="00CA0309"/>
    <w:rsid w:val="00CA6263"/>
    <w:rsid w:val="00CE26CA"/>
    <w:rsid w:val="00D01DCE"/>
    <w:rsid w:val="00D72485"/>
    <w:rsid w:val="00DC264C"/>
    <w:rsid w:val="00DD376C"/>
    <w:rsid w:val="00E11C2E"/>
    <w:rsid w:val="00E4375F"/>
    <w:rsid w:val="00E53B2E"/>
    <w:rsid w:val="00E6536D"/>
    <w:rsid w:val="00E94295"/>
    <w:rsid w:val="00EA26B2"/>
    <w:rsid w:val="00EA2920"/>
    <w:rsid w:val="00EB0827"/>
    <w:rsid w:val="00F233B1"/>
    <w:rsid w:val="00F5292D"/>
    <w:rsid w:val="00F56E28"/>
    <w:rsid w:val="00F61B01"/>
    <w:rsid w:val="00F628E8"/>
    <w:rsid w:val="00F67D8D"/>
    <w:rsid w:val="00F70630"/>
    <w:rsid w:val="00F70A42"/>
    <w:rsid w:val="00F7360C"/>
    <w:rsid w:val="00FB3A38"/>
    <w:rsid w:val="00FC71B2"/>
    <w:rsid w:val="00FC789E"/>
    <w:rsid w:val="00FE2605"/>
    <w:rsid w:val="00FE36D2"/>
    <w:rsid w:val="00FE75A4"/>
    <w:rsid w:val="00FF2F5D"/>
    <w:rsid w:val="60464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F28"/>
    <w:pPr>
      <w:widowControl w:val="0"/>
      <w:jc w:val="both"/>
    </w:pPr>
    <w:rPr>
      <w:rFonts w:ascii="Calibri" w:eastAsia="宋体" w:hAnsi="Calibri" w:cs="Times New Roman"/>
      <w:kern w:val="2"/>
      <w:sz w:val="21"/>
      <w:szCs w:val="24"/>
    </w:rPr>
  </w:style>
  <w:style w:type="paragraph" w:styleId="2">
    <w:name w:val="heading 2"/>
    <w:basedOn w:val="a"/>
    <w:next w:val="a"/>
    <w:link w:val="2Char"/>
    <w:qFormat/>
    <w:rsid w:val="00172586"/>
    <w:pPr>
      <w:keepNext/>
      <w:keepLines/>
      <w:spacing w:line="560" w:lineRule="exact"/>
      <w:jc w:val="left"/>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37F28"/>
    <w:rPr>
      <w:sz w:val="31"/>
      <w:szCs w:val="31"/>
    </w:rPr>
  </w:style>
  <w:style w:type="paragraph" w:customStyle="1" w:styleId="TableParagraph">
    <w:name w:val="Table Paragraph"/>
    <w:basedOn w:val="a"/>
    <w:uiPriority w:val="1"/>
    <w:qFormat/>
    <w:rsid w:val="00037F28"/>
  </w:style>
  <w:style w:type="paragraph" w:styleId="a4">
    <w:name w:val="header"/>
    <w:basedOn w:val="a"/>
    <w:link w:val="Char"/>
    <w:rsid w:val="002C2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2736"/>
    <w:rPr>
      <w:rFonts w:ascii="Calibri" w:eastAsia="宋体" w:hAnsi="Calibri" w:cs="Times New Roman"/>
      <w:kern w:val="2"/>
      <w:sz w:val="18"/>
      <w:szCs w:val="18"/>
    </w:rPr>
  </w:style>
  <w:style w:type="paragraph" w:styleId="a5">
    <w:name w:val="footer"/>
    <w:basedOn w:val="a"/>
    <w:link w:val="Char0"/>
    <w:uiPriority w:val="99"/>
    <w:rsid w:val="002C2736"/>
    <w:pPr>
      <w:tabs>
        <w:tab w:val="center" w:pos="4153"/>
        <w:tab w:val="right" w:pos="8306"/>
      </w:tabs>
      <w:snapToGrid w:val="0"/>
      <w:jc w:val="left"/>
    </w:pPr>
    <w:rPr>
      <w:sz w:val="18"/>
      <w:szCs w:val="18"/>
    </w:rPr>
  </w:style>
  <w:style w:type="character" w:customStyle="1" w:styleId="Char0">
    <w:name w:val="页脚 Char"/>
    <w:basedOn w:val="a0"/>
    <w:link w:val="a5"/>
    <w:uiPriority w:val="99"/>
    <w:rsid w:val="002C2736"/>
    <w:rPr>
      <w:rFonts w:ascii="Calibri" w:eastAsia="宋体" w:hAnsi="Calibri" w:cs="Times New Roman"/>
      <w:kern w:val="2"/>
      <w:sz w:val="18"/>
      <w:szCs w:val="18"/>
    </w:rPr>
  </w:style>
  <w:style w:type="paragraph" w:styleId="a6">
    <w:name w:val="List Paragraph"/>
    <w:basedOn w:val="a"/>
    <w:uiPriority w:val="99"/>
    <w:unhideWhenUsed/>
    <w:rsid w:val="00222EDB"/>
    <w:pPr>
      <w:ind w:firstLineChars="200" w:firstLine="420"/>
    </w:pPr>
  </w:style>
  <w:style w:type="paragraph" w:styleId="a7">
    <w:name w:val="Normal (Web)"/>
    <w:basedOn w:val="a"/>
    <w:uiPriority w:val="99"/>
    <w:unhideWhenUsed/>
    <w:qFormat/>
    <w:rsid w:val="00FE75A4"/>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qFormat/>
    <w:rsid w:val="00172586"/>
    <w:rPr>
      <w:rFonts w:ascii="Arial" w:eastAsia="黑体" w:hAnsi="Arial" w:cs="Times New Roman"/>
      <w:bCs/>
      <w:kern w:val="2"/>
      <w:sz w:val="32"/>
      <w:szCs w:val="32"/>
    </w:rPr>
  </w:style>
  <w:style w:type="paragraph" w:styleId="a8">
    <w:name w:val="endnote text"/>
    <w:basedOn w:val="a"/>
    <w:link w:val="Char1"/>
    <w:rsid w:val="00545590"/>
    <w:pPr>
      <w:snapToGrid w:val="0"/>
      <w:jc w:val="left"/>
    </w:pPr>
  </w:style>
  <w:style w:type="character" w:customStyle="1" w:styleId="Char1">
    <w:name w:val="尾注文本 Char"/>
    <w:basedOn w:val="a0"/>
    <w:link w:val="a8"/>
    <w:rsid w:val="00545590"/>
    <w:rPr>
      <w:rFonts w:ascii="Calibri" w:eastAsia="宋体" w:hAnsi="Calibri" w:cs="Times New Roman"/>
      <w:kern w:val="2"/>
      <w:sz w:val="21"/>
      <w:szCs w:val="24"/>
    </w:rPr>
  </w:style>
  <w:style w:type="character" w:styleId="a9">
    <w:name w:val="endnote reference"/>
    <w:basedOn w:val="a0"/>
    <w:rsid w:val="00545590"/>
    <w:rPr>
      <w:vertAlign w:val="superscript"/>
    </w:rPr>
  </w:style>
</w:styles>
</file>

<file path=word/webSettings.xml><?xml version="1.0" encoding="utf-8"?>
<w:webSettings xmlns:r="http://schemas.openxmlformats.org/officeDocument/2006/relationships" xmlns:w="http://schemas.openxmlformats.org/wordprocessingml/2006/main">
  <w:divs>
    <w:div w:id="71585469">
      <w:bodyDiv w:val="1"/>
      <w:marLeft w:val="0"/>
      <w:marRight w:val="0"/>
      <w:marTop w:val="0"/>
      <w:marBottom w:val="0"/>
      <w:divBdr>
        <w:top w:val="none" w:sz="0" w:space="0" w:color="auto"/>
        <w:left w:val="none" w:sz="0" w:space="0" w:color="auto"/>
        <w:bottom w:val="none" w:sz="0" w:space="0" w:color="auto"/>
        <w:right w:val="none" w:sz="0" w:space="0" w:color="auto"/>
      </w:divBdr>
    </w:div>
    <w:div w:id="259262038">
      <w:bodyDiv w:val="1"/>
      <w:marLeft w:val="0"/>
      <w:marRight w:val="0"/>
      <w:marTop w:val="0"/>
      <w:marBottom w:val="0"/>
      <w:divBdr>
        <w:top w:val="none" w:sz="0" w:space="0" w:color="auto"/>
        <w:left w:val="none" w:sz="0" w:space="0" w:color="auto"/>
        <w:bottom w:val="none" w:sz="0" w:space="0" w:color="auto"/>
        <w:right w:val="none" w:sz="0" w:space="0" w:color="auto"/>
      </w:divBdr>
    </w:div>
    <w:div w:id="328097344">
      <w:bodyDiv w:val="1"/>
      <w:marLeft w:val="0"/>
      <w:marRight w:val="0"/>
      <w:marTop w:val="0"/>
      <w:marBottom w:val="0"/>
      <w:divBdr>
        <w:top w:val="none" w:sz="0" w:space="0" w:color="auto"/>
        <w:left w:val="none" w:sz="0" w:space="0" w:color="auto"/>
        <w:bottom w:val="none" w:sz="0" w:space="0" w:color="auto"/>
        <w:right w:val="none" w:sz="0" w:space="0" w:color="auto"/>
      </w:divBdr>
    </w:div>
    <w:div w:id="433861705">
      <w:bodyDiv w:val="1"/>
      <w:marLeft w:val="0"/>
      <w:marRight w:val="0"/>
      <w:marTop w:val="0"/>
      <w:marBottom w:val="0"/>
      <w:divBdr>
        <w:top w:val="none" w:sz="0" w:space="0" w:color="auto"/>
        <w:left w:val="none" w:sz="0" w:space="0" w:color="auto"/>
        <w:bottom w:val="none" w:sz="0" w:space="0" w:color="auto"/>
        <w:right w:val="none" w:sz="0" w:space="0" w:color="auto"/>
      </w:divBdr>
    </w:div>
    <w:div w:id="582374315">
      <w:bodyDiv w:val="1"/>
      <w:marLeft w:val="0"/>
      <w:marRight w:val="0"/>
      <w:marTop w:val="0"/>
      <w:marBottom w:val="0"/>
      <w:divBdr>
        <w:top w:val="none" w:sz="0" w:space="0" w:color="auto"/>
        <w:left w:val="none" w:sz="0" w:space="0" w:color="auto"/>
        <w:bottom w:val="none" w:sz="0" w:space="0" w:color="auto"/>
        <w:right w:val="none" w:sz="0" w:space="0" w:color="auto"/>
      </w:divBdr>
    </w:div>
    <w:div w:id="796266317">
      <w:bodyDiv w:val="1"/>
      <w:marLeft w:val="0"/>
      <w:marRight w:val="0"/>
      <w:marTop w:val="0"/>
      <w:marBottom w:val="0"/>
      <w:divBdr>
        <w:top w:val="none" w:sz="0" w:space="0" w:color="auto"/>
        <w:left w:val="none" w:sz="0" w:space="0" w:color="auto"/>
        <w:bottom w:val="none" w:sz="0" w:space="0" w:color="auto"/>
        <w:right w:val="none" w:sz="0" w:space="0" w:color="auto"/>
      </w:divBdr>
    </w:div>
    <w:div w:id="801075737">
      <w:bodyDiv w:val="1"/>
      <w:marLeft w:val="0"/>
      <w:marRight w:val="0"/>
      <w:marTop w:val="0"/>
      <w:marBottom w:val="0"/>
      <w:divBdr>
        <w:top w:val="none" w:sz="0" w:space="0" w:color="auto"/>
        <w:left w:val="none" w:sz="0" w:space="0" w:color="auto"/>
        <w:bottom w:val="none" w:sz="0" w:space="0" w:color="auto"/>
        <w:right w:val="none" w:sz="0" w:space="0" w:color="auto"/>
      </w:divBdr>
    </w:div>
    <w:div w:id="1059669536">
      <w:bodyDiv w:val="1"/>
      <w:marLeft w:val="0"/>
      <w:marRight w:val="0"/>
      <w:marTop w:val="0"/>
      <w:marBottom w:val="0"/>
      <w:divBdr>
        <w:top w:val="none" w:sz="0" w:space="0" w:color="auto"/>
        <w:left w:val="none" w:sz="0" w:space="0" w:color="auto"/>
        <w:bottom w:val="none" w:sz="0" w:space="0" w:color="auto"/>
        <w:right w:val="none" w:sz="0" w:space="0" w:color="auto"/>
      </w:divBdr>
    </w:div>
    <w:div w:id="1108310395">
      <w:bodyDiv w:val="1"/>
      <w:marLeft w:val="0"/>
      <w:marRight w:val="0"/>
      <w:marTop w:val="0"/>
      <w:marBottom w:val="0"/>
      <w:divBdr>
        <w:top w:val="none" w:sz="0" w:space="0" w:color="auto"/>
        <w:left w:val="none" w:sz="0" w:space="0" w:color="auto"/>
        <w:bottom w:val="none" w:sz="0" w:space="0" w:color="auto"/>
        <w:right w:val="none" w:sz="0" w:space="0" w:color="auto"/>
      </w:divBdr>
    </w:div>
    <w:div w:id="1204556163">
      <w:bodyDiv w:val="1"/>
      <w:marLeft w:val="0"/>
      <w:marRight w:val="0"/>
      <w:marTop w:val="0"/>
      <w:marBottom w:val="0"/>
      <w:divBdr>
        <w:top w:val="none" w:sz="0" w:space="0" w:color="auto"/>
        <w:left w:val="none" w:sz="0" w:space="0" w:color="auto"/>
        <w:bottom w:val="none" w:sz="0" w:space="0" w:color="auto"/>
        <w:right w:val="none" w:sz="0" w:space="0" w:color="auto"/>
      </w:divBdr>
    </w:div>
    <w:div w:id="1212302074">
      <w:bodyDiv w:val="1"/>
      <w:marLeft w:val="0"/>
      <w:marRight w:val="0"/>
      <w:marTop w:val="0"/>
      <w:marBottom w:val="0"/>
      <w:divBdr>
        <w:top w:val="none" w:sz="0" w:space="0" w:color="auto"/>
        <w:left w:val="none" w:sz="0" w:space="0" w:color="auto"/>
        <w:bottom w:val="none" w:sz="0" w:space="0" w:color="auto"/>
        <w:right w:val="none" w:sz="0" w:space="0" w:color="auto"/>
      </w:divBdr>
    </w:div>
    <w:div w:id="1226599085">
      <w:bodyDiv w:val="1"/>
      <w:marLeft w:val="0"/>
      <w:marRight w:val="0"/>
      <w:marTop w:val="0"/>
      <w:marBottom w:val="0"/>
      <w:divBdr>
        <w:top w:val="none" w:sz="0" w:space="0" w:color="auto"/>
        <w:left w:val="none" w:sz="0" w:space="0" w:color="auto"/>
        <w:bottom w:val="none" w:sz="0" w:space="0" w:color="auto"/>
        <w:right w:val="none" w:sz="0" w:space="0" w:color="auto"/>
      </w:divBdr>
    </w:div>
    <w:div w:id="1343166398">
      <w:bodyDiv w:val="1"/>
      <w:marLeft w:val="0"/>
      <w:marRight w:val="0"/>
      <w:marTop w:val="0"/>
      <w:marBottom w:val="0"/>
      <w:divBdr>
        <w:top w:val="none" w:sz="0" w:space="0" w:color="auto"/>
        <w:left w:val="none" w:sz="0" w:space="0" w:color="auto"/>
        <w:bottom w:val="none" w:sz="0" w:space="0" w:color="auto"/>
        <w:right w:val="none" w:sz="0" w:space="0" w:color="auto"/>
      </w:divBdr>
    </w:div>
    <w:div w:id="1410349199">
      <w:bodyDiv w:val="1"/>
      <w:marLeft w:val="0"/>
      <w:marRight w:val="0"/>
      <w:marTop w:val="0"/>
      <w:marBottom w:val="0"/>
      <w:divBdr>
        <w:top w:val="none" w:sz="0" w:space="0" w:color="auto"/>
        <w:left w:val="none" w:sz="0" w:space="0" w:color="auto"/>
        <w:bottom w:val="none" w:sz="0" w:space="0" w:color="auto"/>
        <w:right w:val="none" w:sz="0" w:space="0" w:color="auto"/>
      </w:divBdr>
    </w:div>
    <w:div w:id="1501002946">
      <w:bodyDiv w:val="1"/>
      <w:marLeft w:val="0"/>
      <w:marRight w:val="0"/>
      <w:marTop w:val="0"/>
      <w:marBottom w:val="0"/>
      <w:divBdr>
        <w:top w:val="none" w:sz="0" w:space="0" w:color="auto"/>
        <w:left w:val="none" w:sz="0" w:space="0" w:color="auto"/>
        <w:bottom w:val="none" w:sz="0" w:space="0" w:color="auto"/>
        <w:right w:val="none" w:sz="0" w:space="0" w:color="auto"/>
      </w:divBdr>
    </w:div>
    <w:div w:id="1557665122">
      <w:bodyDiv w:val="1"/>
      <w:marLeft w:val="0"/>
      <w:marRight w:val="0"/>
      <w:marTop w:val="0"/>
      <w:marBottom w:val="0"/>
      <w:divBdr>
        <w:top w:val="none" w:sz="0" w:space="0" w:color="auto"/>
        <w:left w:val="none" w:sz="0" w:space="0" w:color="auto"/>
        <w:bottom w:val="none" w:sz="0" w:space="0" w:color="auto"/>
        <w:right w:val="none" w:sz="0" w:space="0" w:color="auto"/>
      </w:divBdr>
    </w:div>
    <w:div w:id="1727022076">
      <w:bodyDiv w:val="1"/>
      <w:marLeft w:val="0"/>
      <w:marRight w:val="0"/>
      <w:marTop w:val="0"/>
      <w:marBottom w:val="0"/>
      <w:divBdr>
        <w:top w:val="none" w:sz="0" w:space="0" w:color="auto"/>
        <w:left w:val="none" w:sz="0" w:space="0" w:color="auto"/>
        <w:bottom w:val="none" w:sz="0" w:space="0" w:color="auto"/>
        <w:right w:val="none" w:sz="0" w:space="0" w:color="auto"/>
      </w:divBdr>
    </w:div>
    <w:div w:id="1873573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1FDF-44EF-4FA3-907D-260472A6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8798</TotalTime>
  <Pages>6</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于松民</cp:lastModifiedBy>
  <cp:revision>223</cp:revision>
  <cp:lastPrinted>2022-10-11T02:16:00Z</cp:lastPrinted>
  <dcterms:created xsi:type="dcterms:W3CDTF">2022-10-10T01:53:00Z</dcterms:created>
  <dcterms:modified xsi:type="dcterms:W3CDTF">2022-10-24T06:32:00Z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0CB9BE6DCC3143838D696FA348B89FE0</vt:lpwstr>
  </property>
</Properties>
</file>