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63" w:rsidRPr="00BF1763" w:rsidRDefault="00BF1763" w:rsidP="00BF1763">
      <w:pPr>
        <w:widowControl/>
        <w:spacing w:after="210" w:line="500" w:lineRule="exact"/>
        <w:jc w:val="center"/>
        <w:outlineLvl w:val="0"/>
        <w:rPr>
          <w:rFonts w:ascii="方正小标宋简体" w:eastAsia="方正小标宋简体" w:hAnsi="宋体" w:cs="宋体" w:hint="eastAsia"/>
          <w:w w:val="80"/>
          <w:kern w:val="36"/>
          <w:sz w:val="44"/>
          <w:szCs w:val="44"/>
        </w:rPr>
      </w:pPr>
      <w:r w:rsidRPr="00BF1763">
        <w:rPr>
          <w:rFonts w:ascii="方正小标宋简体" w:eastAsia="方正小标宋简体" w:hAnsi="宋体" w:cs="宋体" w:hint="eastAsia"/>
          <w:w w:val="80"/>
          <w:kern w:val="36"/>
          <w:sz w:val="44"/>
          <w:szCs w:val="44"/>
        </w:rPr>
        <w:t>诉调对接 多元解纷</w:t>
      </w:r>
    </w:p>
    <w:p w:rsidR="00BF1763" w:rsidRPr="00BF1763" w:rsidRDefault="00BF1763" w:rsidP="00BF1763">
      <w:pPr>
        <w:widowControl/>
        <w:spacing w:after="210" w:line="500" w:lineRule="exact"/>
        <w:ind w:firstLineChars="50" w:firstLine="175"/>
        <w:jc w:val="center"/>
        <w:outlineLvl w:val="0"/>
        <w:rPr>
          <w:rFonts w:ascii="方正小标宋简体" w:eastAsia="方正小标宋简体" w:hAnsi="宋体" w:cs="宋体" w:hint="eastAsia"/>
          <w:w w:val="80"/>
          <w:kern w:val="36"/>
          <w:sz w:val="44"/>
          <w:szCs w:val="44"/>
        </w:rPr>
      </w:pPr>
      <w:r w:rsidRPr="00BF1763">
        <w:rPr>
          <w:rFonts w:ascii="方正小标宋简体" w:eastAsia="方正小标宋简体" w:hAnsi="宋体" w:cs="宋体" w:hint="eastAsia"/>
          <w:w w:val="80"/>
          <w:kern w:val="36"/>
          <w:sz w:val="44"/>
          <w:szCs w:val="44"/>
        </w:rPr>
        <w:t>推动长春市互联网法庭诉源治理工作迈上新台阶</w:t>
      </w:r>
    </w:p>
    <w:p w:rsidR="00BF1763" w:rsidRPr="00BF1763" w:rsidRDefault="00BF1763" w:rsidP="00BF1763">
      <w:pPr>
        <w:widowControl/>
        <w:rPr>
          <w:rFonts w:ascii="宋体" w:eastAsia="宋体" w:hAnsi="宋体" w:cs="宋体"/>
          <w:color w:val="222222"/>
          <w:kern w:val="0"/>
          <w:sz w:val="26"/>
          <w:szCs w:val="26"/>
        </w:rPr>
      </w:pPr>
    </w:p>
    <w:p w:rsidR="00BF1763" w:rsidRPr="00BF1763" w:rsidRDefault="00BF1763" w:rsidP="00BF1763">
      <w:pPr>
        <w:widowControl/>
        <w:ind w:firstLine="480"/>
        <w:rPr>
          <w:rFonts w:ascii="宋体" w:eastAsia="宋体" w:hAnsi="宋体" w:cs="宋体"/>
          <w:color w:val="222222"/>
          <w:kern w:val="0"/>
          <w:sz w:val="26"/>
          <w:szCs w:val="26"/>
        </w:rPr>
      </w:pPr>
      <w:r w:rsidRPr="00BF1763">
        <w:rPr>
          <w:rFonts w:ascii="宋体" w:eastAsia="宋体" w:hAnsi="宋体" w:cs="宋体"/>
          <w:color w:val="222222"/>
          <w:kern w:val="0"/>
          <w:sz w:val="24"/>
          <w:szCs w:val="24"/>
        </w:rPr>
        <w:t>为推进国家治理体系和治理能力现代化，深化司法体系综合配套改革，完善多元纠纷解决机制，近日，长春新区人民法院与长春市司法局、长春市互联网矛盾纠纷人民调解委员会召开府院联动、诉调对接工作会议，并现场观看了智能调解平台功能演示。</w:t>
      </w:r>
    </w:p>
    <w:p w:rsidR="00BF1763" w:rsidRPr="00BF1763" w:rsidRDefault="00BF1763" w:rsidP="00BF1763">
      <w:pPr>
        <w:widowControl/>
        <w:rPr>
          <w:rFonts w:ascii="宋体" w:eastAsia="宋体" w:hAnsi="宋体" w:cs="宋体"/>
          <w:color w:val="222222"/>
          <w:kern w:val="0"/>
          <w:sz w:val="26"/>
          <w:szCs w:val="26"/>
        </w:rPr>
      </w:pP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    </w:t>
      </w:r>
      <w:r w:rsidRPr="00BF1763">
        <w:rPr>
          <w:rFonts w:ascii="宋体" w:eastAsia="宋体" w:hAnsi="宋体" w:cs="宋体"/>
          <w:color w:val="222222"/>
          <w:kern w:val="0"/>
          <w:sz w:val="24"/>
          <w:szCs w:val="24"/>
        </w:rPr>
        <w:t>会上多方就如何将“一站式”调解平台与审判平台嫁接，将信息查询、电子送达、智能调解等互联网技术广泛运用于诉源治理中进行积极探讨。</w:t>
      </w:r>
    </w:p>
    <w:p w:rsidR="00BF1763" w:rsidRPr="00BF1763" w:rsidRDefault="00BF1763" w:rsidP="00BF1763">
      <w:pPr>
        <w:widowControl/>
        <w:ind w:firstLine="480"/>
        <w:rPr>
          <w:rFonts w:ascii="宋体" w:eastAsia="宋体" w:hAnsi="宋体" w:cs="宋体"/>
          <w:color w:val="222222"/>
          <w:kern w:val="0"/>
          <w:sz w:val="26"/>
          <w:szCs w:val="26"/>
        </w:rPr>
      </w:pPr>
      <w:r w:rsidRPr="00BF1763">
        <w:rPr>
          <w:rFonts w:ascii="宋体" w:eastAsia="宋体" w:hAnsi="宋体" w:cs="宋体"/>
          <w:color w:val="222222"/>
          <w:kern w:val="0"/>
          <w:sz w:val="24"/>
          <w:szCs w:val="24"/>
        </w:rPr>
        <w:t>要借助双方合作的有利时机，主动对接有关行业性专业性人民调解委员会，运用互联网+诉前调解模式开展诉前、诉中调解，提高纠纷调处能力，及时办结一批群众关注的案件，推动长春市互联网法庭诉源治理工作迈上新台阶</w:t>
      </w: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.</w:t>
      </w:r>
    </w:p>
    <w:p w:rsidR="00BF1763" w:rsidRDefault="00BF1763" w:rsidP="00BF1763">
      <w:pPr>
        <w:widowControl/>
        <w:ind w:firstLine="480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BF1763">
        <w:rPr>
          <w:rFonts w:ascii="宋体" w:eastAsia="宋体" w:hAnsi="宋体" w:cs="宋体"/>
          <w:color w:val="222222"/>
          <w:kern w:val="0"/>
          <w:sz w:val="24"/>
          <w:szCs w:val="24"/>
        </w:rPr>
        <w:t>向与会人员分享了全市多元纠纷化解工作及府院联动工作进展情况，并表示，下一步，要与新区法院建立共建机制，进一步发挥智能调解平台在互联网案件审判中的作用，为缓解法院办案压力、减轻当事人诉累作出更多贡献。</w:t>
      </w:r>
      <w:r w:rsidRPr="00BF1763">
        <w:rPr>
          <w:rFonts w:ascii="宋体" w:eastAsia="宋体" w:hAnsi="宋体" w:cs="宋体"/>
          <w:color w:val="222222"/>
          <w:kern w:val="0"/>
          <w:sz w:val="26"/>
          <w:szCs w:val="26"/>
        </w:rPr>
        <w:br/>
      </w: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    </w:t>
      </w:r>
      <w:r w:rsidRPr="00BF1763">
        <w:rPr>
          <w:rFonts w:ascii="宋体" w:eastAsia="宋体" w:hAnsi="宋体" w:cs="宋体"/>
          <w:color w:val="222222"/>
          <w:kern w:val="0"/>
          <w:sz w:val="24"/>
          <w:szCs w:val="24"/>
        </w:rPr>
        <w:t>今后新区法院将立足实际，努力把矛盾纠纷多元化解工作打造成一张亮丽名片，让更多的矛盾纠纷化解在诉前，不断提升人民群众的获得感、幸福感、安全感。</w:t>
      </w:r>
    </w:p>
    <w:p w:rsidR="00BF1763" w:rsidRPr="00BF1763" w:rsidRDefault="00BF1763" w:rsidP="00BF1763">
      <w:pPr>
        <w:widowControl/>
        <w:ind w:firstLine="480"/>
        <w:rPr>
          <w:rFonts w:ascii="宋体" w:eastAsia="宋体" w:hAnsi="宋体" w:cs="宋体"/>
          <w:color w:val="222222"/>
          <w:kern w:val="0"/>
          <w:sz w:val="26"/>
          <w:szCs w:val="26"/>
        </w:rPr>
      </w:pPr>
    </w:p>
    <w:p w:rsidR="00000000" w:rsidRDefault="00BF1763">
      <w:pPr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222222"/>
          <w:kern w:val="0"/>
          <w:sz w:val="26"/>
          <w:szCs w:val="26"/>
        </w:rPr>
        <w:drawing>
          <wp:inline distT="0" distB="0" distL="0" distR="0">
            <wp:extent cx="5274310" cy="3088560"/>
            <wp:effectExtent l="19050" t="0" r="2540" b="0"/>
            <wp:docPr id="6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      </w:t>
      </w:r>
      <w:r w:rsidRPr="00BF1763">
        <w:rPr>
          <w:rFonts w:ascii="宋体" w:eastAsia="宋体" w:hAnsi="宋体" w:cs="宋体"/>
          <w:color w:val="222222"/>
          <w:kern w:val="0"/>
          <w:sz w:val="24"/>
          <w:szCs w:val="24"/>
        </w:rPr>
        <w:t>新区法院副院长王欣</w:t>
      </w: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      </w:t>
      </w:r>
      <w:r w:rsidRPr="00BF1763">
        <w:rPr>
          <w:rFonts w:ascii="宋体" w:eastAsia="宋体" w:hAnsi="宋体" w:cs="宋体"/>
          <w:color w:val="222222"/>
          <w:kern w:val="0"/>
          <w:sz w:val="24"/>
          <w:szCs w:val="24"/>
        </w:rPr>
        <w:t>长春市司法局人民参与促进处处长何涛</w:t>
      </w:r>
    </w:p>
    <w:p w:rsidR="008B7BFB" w:rsidRDefault="008B7BFB">
      <w:pPr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</w:p>
    <w:p w:rsidR="008B7BFB" w:rsidRDefault="008B7BFB">
      <w:pPr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</w:p>
    <w:p w:rsidR="008B7BFB" w:rsidRDefault="008B7BFB">
      <w:pPr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</w:p>
    <w:p w:rsidR="008B7BFB" w:rsidRDefault="008B7BFB">
      <w:pPr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</w:p>
    <w:p w:rsidR="008B7BFB" w:rsidRPr="008B7BFB" w:rsidRDefault="008B7BFB" w:rsidP="00F25380">
      <w:pPr>
        <w:widowControl/>
        <w:shd w:val="clear" w:color="auto" w:fill="FFFFFF"/>
        <w:spacing w:after="210"/>
        <w:jc w:val="center"/>
        <w:outlineLvl w:val="0"/>
        <w:rPr>
          <w:rFonts w:ascii="方正小标宋简体" w:eastAsia="方正小标宋简体" w:hAnsi="微软雅黑" w:cs="宋体" w:hint="eastAsia"/>
          <w:color w:val="222222"/>
          <w:spacing w:val="8"/>
          <w:kern w:val="36"/>
          <w:sz w:val="44"/>
          <w:szCs w:val="44"/>
        </w:rPr>
      </w:pPr>
      <w:r w:rsidRPr="008B7BFB">
        <w:rPr>
          <w:rFonts w:ascii="方正小标宋简体" w:eastAsia="方正小标宋简体" w:hAnsi="微软雅黑" w:cs="宋体" w:hint="eastAsia"/>
          <w:color w:val="222222"/>
          <w:spacing w:val="8"/>
          <w:kern w:val="36"/>
          <w:sz w:val="44"/>
          <w:szCs w:val="44"/>
        </w:rPr>
        <w:lastRenderedPageBreak/>
        <w:t>府院联动显成效，解决农民工“纠薪事”</w:t>
      </w:r>
    </w:p>
    <w:p w:rsidR="008B7BFB" w:rsidRPr="008B7BFB" w:rsidRDefault="008B7BFB" w:rsidP="008B7BF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8B7BFB">
        <w:rPr>
          <w:rFonts w:ascii="微软雅黑" w:eastAsia="微软雅黑" w:hAnsi="微软雅黑" w:cs="宋体" w:hint="eastAsia"/>
          <w:color w:val="212122"/>
          <w:spacing w:val="8"/>
          <w:kern w:val="0"/>
          <w:sz w:val="24"/>
          <w:szCs w:val="24"/>
        </w:rPr>
        <w:t>“我们农民工赚钱不容易，感谢法官帮我们解决了工资难题。”一名当事人在收到调解协议书时感激地说。近日，长春新区人民法院联合新区检察院、新区劳动监察部门共同化解了一起欠薪案，帮助23名农民工解决“纠薪事”。</w:t>
      </w:r>
    </w:p>
    <w:p w:rsidR="008B7BFB" w:rsidRPr="008B7BFB" w:rsidRDefault="008B7BFB" w:rsidP="008B7BF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8B7BFB">
        <w:rPr>
          <w:rFonts w:ascii="微软雅黑" w:eastAsia="微软雅黑" w:hAnsi="微软雅黑" w:cs="宋体" w:hint="eastAsia"/>
          <w:color w:val="212122"/>
          <w:spacing w:val="8"/>
          <w:kern w:val="0"/>
          <w:sz w:val="24"/>
          <w:szCs w:val="24"/>
        </w:rPr>
        <w:t>被告季某挂靠某劳务公司，为施工单位某工程局有限公司提供劳务工作。劳务用工结束经结算后，被告季某共拖欠23名原告工资共计34余万元，并向各原告出具欠条，承诺在2021年12月31日前全部付清。承诺还款日到期后，被告未及时支付剩余工资，故23名原告诉至本院。</w:t>
      </w:r>
    </w:p>
    <w:p w:rsidR="008B7BFB" w:rsidRPr="008B7BFB" w:rsidRDefault="008B7BFB" w:rsidP="00F25380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8B7BFB">
        <w:rPr>
          <w:rFonts w:ascii="微软雅黑" w:eastAsia="微软雅黑" w:hAnsi="微软雅黑" w:cs="宋体" w:hint="eastAsia"/>
          <w:color w:val="212122"/>
          <w:spacing w:val="23"/>
          <w:kern w:val="0"/>
          <w:sz w:val="24"/>
          <w:szCs w:val="24"/>
          <w:shd w:val="clear" w:color="auto" w:fill="FDF6EF"/>
        </w:rPr>
        <w:t>因本案涉及23名农民工的欠薪问题，在新区检察院、新区劳动监察部门的帮助下，找到了相关当事人，解决了送达问题。随后，新区法院王海峰法官积极组织施工单位、劳务公司、挂靠人进行调解，通过多个角度多次对双方当事人进行释法明理，促使企业承担起社会责任，履行相应义务。同时，兼顾企业正常经营，经过府院三家共同努力，各方当事人于2022年8月26日当庭签订了调解协议，并由本院出具调解书，施工单位承诺在半个月内通过劳动监察部门为23名农民工发放工资，矛盾</w:t>
      </w:r>
      <w:r w:rsidRPr="008B7BFB">
        <w:rPr>
          <w:rFonts w:ascii="MS Gothic" w:eastAsia="MS Gothic" w:hAnsi="MS Gothic" w:cs="MS Gothic" w:hint="eastAsia"/>
          <w:color w:val="212122"/>
          <w:spacing w:val="23"/>
          <w:kern w:val="0"/>
          <w:sz w:val="24"/>
          <w:szCs w:val="24"/>
          <w:shd w:val="clear" w:color="auto" w:fill="FDF6EF"/>
        </w:rPr>
        <w:t>‍</w:t>
      </w:r>
      <w:r w:rsidRPr="008B7BFB">
        <w:rPr>
          <w:rFonts w:ascii="微软雅黑" w:eastAsia="微软雅黑" w:hAnsi="微软雅黑" w:cs="微软雅黑" w:hint="eastAsia"/>
          <w:color w:val="212122"/>
          <w:spacing w:val="23"/>
          <w:kern w:val="0"/>
          <w:sz w:val="24"/>
          <w:szCs w:val="24"/>
          <w:shd w:val="clear" w:color="auto" w:fill="FDF6EF"/>
        </w:rPr>
        <w:t>至此化解。</w:t>
      </w:r>
    </w:p>
    <w:p w:rsidR="008B7BFB" w:rsidRPr="008B7BFB" w:rsidRDefault="008B7BFB" w:rsidP="008B7BF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8B7BFB">
        <w:rPr>
          <w:rFonts w:ascii="微软雅黑" w:eastAsia="微软雅黑" w:hAnsi="微软雅黑" w:cs="宋体" w:hint="eastAsia"/>
          <w:color w:val="212122"/>
          <w:spacing w:val="8"/>
          <w:kern w:val="0"/>
          <w:sz w:val="24"/>
          <w:szCs w:val="24"/>
        </w:rPr>
        <w:t>长春新区人民法院坚持以人民为中心的府院联动理念，聚焦审判执行工作中人民群众“急难愁盼”问题，始终秉持群众利益无小事的原则，在办理案件过程中为群众办实事、办好事、解难题，让人民群众切身感受到司法为民的力度和温度。</w:t>
      </w:r>
    </w:p>
    <w:p w:rsidR="008B7BFB" w:rsidRPr="008B7BFB" w:rsidRDefault="00F25380">
      <w:r>
        <w:rPr>
          <w:rFonts w:ascii="微软雅黑" w:eastAsia="微软雅黑" w:hAnsi="微软雅黑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4694607" cy="3399243"/>
            <wp:effectExtent l="19050" t="0" r="0" b="0"/>
            <wp:docPr id="8" name="图片 1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图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453" cy="339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BFB">
        <w:rPr>
          <w:rFonts w:ascii="微软雅黑" w:eastAsia="微软雅黑" w:hAnsi="微软雅黑" w:cs="宋体"/>
          <w:noProof/>
          <w:color w:val="222222"/>
          <w:spacing w:val="8"/>
          <w:kern w:val="0"/>
          <w:sz w:val="26"/>
          <w:szCs w:val="26"/>
        </w:rPr>
        <w:drawing>
          <wp:inline distT="0" distB="0" distL="0" distR="0">
            <wp:extent cx="4724400" cy="3149600"/>
            <wp:effectExtent l="19050" t="0" r="0" b="0"/>
            <wp:docPr id="7" name="图片 1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图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BFB" w:rsidRPr="008B7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A0C" w:rsidRDefault="00233A0C" w:rsidP="00BF1763">
      <w:r>
        <w:separator/>
      </w:r>
    </w:p>
  </w:endnote>
  <w:endnote w:type="continuationSeparator" w:id="1">
    <w:p w:rsidR="00233A0C" w:rsidRDefault="00233A0C" w:rsidP="00BF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A0C" w:rsidRDefault="00233A0C" w:rsidP="00BF1763">
      <w:r>
        <w:separator/>
      </w:r>
    </w:p>
  </w:footnote>
  <w:footnote w:type="continuationSeparator" w:id="1">
    <w:p w:rsidR="00233A0C" w:rsidRDefault="00233A0C" w:rsidP="00BF1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763"/>
    <w:rsid w:val="00233A0C"/>
    <w:rsid w:val="008B7BFB"/>
    <w:rsid w:val="00BF1763"/>
    <w:rsid w:val="00F2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176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7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76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F176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BF1763"/>
  </w:style>
  <w:style w:type="character" w:styleId="a5">
    <w:name w:val="Hyperlink"/>
    <w:basedOn w:val="a0"/>
    <w:uiPriority w:val="99"/>
    <w:semiHidden/>
    <w:unhideWhenUsed/>
    <w:rsid w:val="00BF1763"/>
    <w:rPr>
      <w:color w:val="0000FF"/>
      <w:u w:val="single"/>
    </w:rPr>
  </w:style>
  <w:style w:type="character" w:styleId="a6">
    <w:name w:val="Emphasis"/>
    <w:basedOn w:val="a0"/>
    <w:uiPriority w:val="20"/>
    <w:qFormat/>
    <w:rsid w:val="00BF1763"/>
    <w:rPr>
      <w:i/>
      <w:iCs/>
    </w:rPr>
  </w:style>
  <w:style w:type="paragraph" w:styleId="a7">
    <w:name w:val="Normal (Web)"/>
    <w:basedOn w:val="a"/>
    <w:uiPriority w:val="99"/>
    <w:semiHidden/>
    <w:unhideWhenUsed/>
    <w:rsid w:val="00BF17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BF176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F1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20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565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2022-10-14T07:06:00Z</dcterms:created>
  <dcterms:modified xsi:type="dcterms:W3CDTF">2022-10-14T07:18:00Z</dcterms:modified>
</cp:coreProperties>
</file>